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57" w:rsidRPr="00842857" w:rsidRDefault="00842857" w:rsidP="00842857">
      <w:pPr>
        <w:rPr>
          <w:rFonts w:eastAsia="Times New Roman" w:cstheme="minorHAnsi"/>
          <w:b/>
          <w:bCs/>
          <w:color w:val="000000"/>
          <w:sz w:val="20"/>
          <w:szCs w:val="20"/>
        </w:rPr>
      </w:pPr>
      <w:r w:rsidRPr="00842857">
        <w:rPr>
          <w:rFonts w:eastAsia="Times New Roman" w:cstheme="minorHAnsi"/>
          <w:b/>
          <w:bCs/>
          <w:color w:val="000000"/>
          <w:sz w:val="20"/>
          <w:szCs w:val="20"/>
        </w:rPr>
        <w:t>Buffalo County 2016 LiDAR Products</w:t>
      </w:r>
    </w:p>
    <w:p w:rsidR="00842857" w:rsidRPr="00842857" w:rsidRDefault="00842857" w:rsidP="00842857">
      <w:pPr>
        <w:rPr>
          <w:rFonts w:eastAsia="Times New Roman" w:cstheme="minorHAnsi"/>
          <w:b/>
          <w:bCs/>
          <w:color w:val="000000"/>
          <w:sz w:val="20"/>
          <w:szCs w:val="20"/>
        </w:rPr>
      </w:pPr>
    </w:p>
    <w:p w:rsidR="00842857" w:rsidRPr="00C166B3" w:rsidRDefault="00842857" w:rsidP="00842857">
      <w:pPr>
        <w:rPr>
          <w:rFonts w:eastAsia="Times New Roman" w:cstheme="minorHAnsi"/>
          <w:b/>
          <w:bCs/>
          <w:color w:val="000000"/>
          <w:sz w:val="24"/>
          <w:szCs w:val="24"/>
        </w:rPr>
      </w:pPr>
      <w:r w:rsidRPr="00C166B3">
        <w:rPr>
          <w:rFonts w:eastAsia="Times New Roman" w:cstheme="minorHAnsi"/>
          <w:b/>
          <w:bCs/>
          <w:color w:val="000000"/>
          <w:sz w:val="24"/>
          <w:szCs w:val="24"/>
        </w:rPr>
        <w:t>About 2016 LiDAR Products</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 xml:space="preserve">The process for acquiring LiDAR in Buffalo County began in late 2014 with the announcement of the USGS 3DEP LiDAR Matching Grant Program. In 2015, in coordination with the State of Wisconsin and Ayres Associates the Buffalo County Land Information Office was successfully awarded a USGS 3DEP LiDAR Matching Grant for </w:t>
      </w:r>
      <w:proofErr w:type="gramStart"/>
      <w:r w:rsidRPr="00C166B3">
        <w:rPr>
          <w:rFonts w:eastAsia="Times New Roman" w:cstheme="minorHAnsi"/>
          <w:bCs/>
          <w:color w:val="000000"/>
          <w:sz w:val="20"/>
          <w:szCs w:val="20"/>
        </w:rPr>
        <w:t>the  collection</w:t>
      </w:r>
      <w:proofErr w:type="gramEnd"/>
      <w:r w:rsidRPr="00C166B3">
        <w:rPr>
          <w:rFonts w:eastAsia="Times New Roman" w:cstheme="minorHAnsi"/>
          <w:bCs/>
          <w:color w:val="000000"/>
          <w:sz w:val="20"/>
          <w:szCs w:val="20"/>
        </w:rPr>
        <w:t xml:space="preserve"> and processing   of LiDAR in the spring in 2016.  All LiDAR deliverable products are available in 4,500-foot by 4,500-foot tiles across the county</w:t>
      </w:r>
    </w:p>
    <w:p w:rsidR="00842857" w:rsidRPr="00842857" w:rsidRDefault="00842857" w:rsidP="00842857">
      <w:pPr>
        <w:rPr>
          <w:rFonts w:eastAsia="Times New Roman" w:cstheme="minorHAnsi"/>
          <w:b/>
          <w:bCs/>
          <w:color w:val="000000"/>
          <w:sz w:val="20"/>
          <w:szCs w:val="20"/>
        </w:rPr>
      </w:pPr>
    </w:p>
    <w:p w:rsidR="00842857" w:rsidRPr="00C166B3" w:rsidRDefault="00842857" w:rsidP="00842857">
      <w:pPr>
        <w:rPr>
          <w:rFonts w:eastAsia="Times New Roman" w:cstheme="minorHAnsi"/>
          <w:b/>
          <w:bCs/>
          <w:color w:val="000000"/>
          <w:sz w:val="24"/>
          <w:szCs w:val="24"/>
        </w:rPr>
      </w:pPr>
      <w:r w:rsidRPr="00842857">
        <w:rPr>
          <w:rFonts w:eastAsia="Times New Roman" w:cstheme="minorHAnsi"/>
          <w:b/>
          <w:bCs/>
          <w:color w:val="000000"/>
          <w:sz w:val="20"/>
          <w:szCs w:val="20"/>
        </w:rPr>
        <w:t xml:space="preserve"> </w:t>
      </w:r>
      <w:r w:rsidRPr="00C166B3">
        <w:rPr>
          <w:rFonts w:eastAsia="Times New Roman" w:cstheme="minorHAnsi"/>
          <w:b/>
          <w:bCs/>
          <w:color w:val="000000"/>
          <w:sz w:val="24"/>
          <w:szCs w:val="24"/>
        </w:rPr>
        <w:t>Specifications</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 xml:space="preserve">LiDAR data and derivative products to conform to specifications defined in the USGS “National Geospatial Program LiDAR Base Specification Version 1.2”. LiDAR data and meets USGS definition of Quality Level 2 (QL2) and </w:t>
      </w:r>
      <w:proofErr w:type="gramStart"/>
      <w:r w:rsidRPr="00C166B3">
        <w:rPr>
          <w:rFonts w:eastAsia="Times New Roman" w:cstheme="minorHAnsi"/>
          <w:bCs/>
          <w:color w:val="000000"/>
          <w:sz w:val="20"/>
          <w:szCs w:val="20"/>
        </w:rPr>
        <w:t>are  reference</w:t>
      </w:r>
      <w:proofErr w:type="gramEnd"/>
      <w:r w:rsidRPr="00C166B3">
        <w:rPr>
          <w:rFonts w:eastAsia="Times New Roman" w:cstheme="minorHAnsi"/>
          <w:bCs/>
          <w:color w:val="000000"/>
          <w:sz w:val="20"/>
          <w:szCs w:val="20"/>
        </w:rPr>
        <w:t xml:space="preserve"> to   WISCRS, Buffalo County Coordinates, NAD 83 (11), NAVD 88 (12A), US Survey Feet. </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 xml:space="preserve"> The calibrated LiDAR point cloud used to develop the bare earth surface model (DEM) meets the following vertical accuracy requirements:</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1.RMSEz (non-vegetated) ≤ 10 cm (Point Cloud and DEM)</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2.NVA ≤ 19.6 cm at 95% confidence level according to NSSDA standards (Point Cloud and DEM)</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3.VVA ≤ 29.4 cm at 95th percentile level according to ASPRS guidelines (DEM only)</w:t>
      </w:r>
    </w:p>
    <w:p w:rsidR="00842857" w:rsidRPr="00842857" w:rsidRDefault="00842857" w:rsidP="00842857">
      <w:pPr>
        <w:rPr>
          <w:rFonts w:eastAsia="Times New Roman" w:cstheme="minorHAnsi"/>
          <w:b/>
          <w:bCs/>
          <w:color w:val="000000"/>
          <w:sz w:val="20"/>
          <w:szCs w:val="20"/>
        </w:rPr>
      </w:pPr>
    </w:p>
    <w:p w:rsidR="00842857" w:rsidRPr="00C166B3" w:rsidRDefault="00842857" w:rsidP="00842857">
      <w:pPr>
        <w:rPr>
          <w:rFonts w:eastAsia="Times New Roman" w:cstheme="minorHAnsi"/>
          <w:b/>
          <w:bCs/>
          <w:color w:val="000000"/>
          <w:sz w:val="24"/>
          <w:szCs w:val="24"/>
        </w:rPr>
      </w:pPr>
      <w:r w:rsidRPr="00C166B3">
        <w:rPr>
          <w:rFonts w:eastAsia="Times New Roman" w:cstheme="minorHAnsi"/>
          <w:b/>
          <w:bCs/>
          <w:color w:val="000000"/>
          <w:sz w:val="24"/>
          <w:szCs w:val="24"/>
        </w:rPr>
        <w:t xml:space="preserve">View Vertical Accuracy Report  </w:t>
      </w:r>
    </w:p>
    <w:p w:rsidR="00842857" w:rsidRPr="00C166B3" w:rsidRDefault="00842857" w:rsidP="00842857">
      <w:pPr>
        <w:rPr>
          <w:rFonts w:eastAsia="Times New Roman" w:cstheme="minorHAnsi"/>
          <w:bCs/>
          <w:color w:val="000000"/>
          <w:sz w:val="20"/>
          <w:szCs w:val="20"/>
        </w:rPr>
      </w:pPr>
      <w:r w:rsidRPr="00C166B3">
        <w:rPr>
          <w:rFonts w:eastAsia="Times New Roman" w:cstheme="minorHAnsi"/>
          <w:bCs/>
          <w:color w:val="000000"/>
          <w:sz w:val="20"/>
          <w:szCs w:val="20"/>
        </w:rPr>
        <w:t xml:space="preserve">This report details the absolute vertical accuracy of the LiDAR point cloud and derived DEM as tested against independent survey control points. </w:t>
      </w:r>
    </w:p>
    <w:p w:rsidR="00842857" w:rsidRPr="00842857" w:rsidRDefault="00842857" w:rsidP="00842857">
      <w:pPr>
        <w:rPr>
          <w:rFonts w:eastAsia="Times New Roman" w:cstheme="minorHAnsi"/>
          <w:b/>
          <w:bCs/>
          <w:color w:val="000000"/>
          <w:sz w:val="20"/>
          <w:szCs w:val="20"/>
        </w:rPr>
      </w:pPr>
    </w:p>
    <w:p w:rsidR="00842857" w:rsidRPr="00842857" w:rsidRDefault="00842857" w:rsidP="00842857">
      <w:pPr>
        <w:rPr>
          <w:rFonts w:eastAsia="Times New Roman" w:cstheme="minorHAnsi"/>
          <w:b/>
          <w:bCs/>
          <w:color w:val="000000"/>
          <w:sz w:val="20"/>
          <w:szCs w:val="20"/>
        </w:rPr>
      </w:pPr>
      <w:r w:rsidRPr="00842857">
        <w:rPr>
          <w:rFonts w:eastAsia="Times New Roman" w:cstheme="minorHAnsi"/>
          <w:b/>
          <w:bCs/>
          <w:color w:val="000000"/>
          <w:sz w:val="20"/>
          <w:szCs w:val="20"/>
        </w:rPr>
        <w:t xml:space="preserve"> </w:t>
      </w:r>
    </w:p>
    <w:p w:rsidR="00842857" w:rsidRPr="00C166B3" w:rsidRDefault="00842857" w:rsidP="00842857">
      <w:pPr>
        <w:rPr>
          <w:rFonts w:eastAsia="Times New Roman" w:cstheme="minorHAnsi"/>
          <w:b/>
          <w:bCs/>
          <w:color w:val="000000"/>
          <w:sz w:val="24"/>
          <w:szCs w:val="24"/>
        </w:rPr>
      </w:pPr>
      <w:r w:rsidRPr="00C166B3">
        <w:rPr>
          <w:rFonts w:eastAsia="Times New Roman" w:cstheme="minorHAnsi"/>
          <w:b/>
          <w:bCs/>
          <w:color w:val="000000"/>
          <w:sz w:val="24"/>
          <w:szCs w:val="24"/>
        </w:rPr>
        <w:t>LiDAR Products Details</w:t>
      </w:r>
    </w:p>
    <w:p w:rsidR="00842857" w:rsidRPr="00842857" w:rsidRDefault="00842857" w:rsidP="00842857">
      <w:pPr>
        <w:rPr>
          <w:rFonts w:eastAsia="Times New Roman" w:cstheme="minorHAnsi"/>
          <w:b/>
          <w:bCs/>
          <w:color w:val="000000"/>
          <w:sz w:val="20"/>
          <w:szCs w:val="20"/>
        </w:rPr>
      </w:pPr>
      <w:r w:rsidRPr="00842857">
        <w:rPr>
          <w:rFonts w:eastAsia="Times New Roman" w:cstheme="minorHAnsi"/>
          <w:b/>
          <w:bCs/>
          <w:color w:val="000000"/>
          <w:sz w:val="20"/>
          <w:szCs w:val="20"/>
        </w:rPr>
        <w:t>Classified Point Cloud, LAS 1.4 format</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The calibrated LiDAR point cloud is classified to the following base classification scheme: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Class 1: Processed, but unclassified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Class 2: Bare-earth ground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class 5: High Vegetation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class 6: Buildings</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Class 7: Low Noise</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Class 9: Water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Class 10: Ignore</w:t>
      </w:r>
      <w:r w:rsidRPr="00C166B3">
        <w:rPr>
          <w:rFonts w:eastAsia="Times New Roman" w:cstheme="minorHAnsi"/>
          <w:bCs/>
          <w:color w:val="000000"/>
          <w:sz w:val="20"/>
          <w:szCs w:val="20"/>
        </w:rPr>
        <w:t>d ground (</w:t>
      </w:r>
      <w:proofErr w:type="spellStart"/>
      <w:r w:rsidRPr="00C166B3">
        <w:rPr>
          <w:rFonts w:eastAsia="Times New Roman" w:cstheme="minorHAnsi"/>
          <w:bCs/>
          <w:color w:val="000000"/>
          <w:sz w:val="20"/>
          <w:szCs w:val="20"/>
        </w:rPr>
        <w:t>breakline</w:t>
      </w:r>
      <w:proofErr w:type="spellEnd"/>
      <w:r w:rsidRPr="00C166B3">
        <w:rPr>
          <w:rFonts w:eastAsia="Times New Roman" w:cstheme="minorHAnsi"/>
          <w:bCs/>
          <w:color w:val="000000"/>
          <w:sz w:val="20"/>
          <w:szCs w:val="20"/>
        </w:rPr>
        <w:t xml:space="preserve"> proximity)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 xml:space="preserve">Class 17: Bridge Decks </w:t>
      </w:r>
    </w:p>
    <w:p w:rsidR="00842857" w:rsidRPr="00C166B3" w:rsidRDefault="00842857" w:rsidP="00C166B3">
      <w:pPr>
        <w:spacing w:after="0" w:line="240" w:lineRule="auto"/>
        <w:rPr>
          <w:rFonts w:eastAsia="Times New Roman" w:cstheme="minorHAnsi"/>
          <w:bCs/>
          <w:color w:val="000000"/>
          <w:sz w:val="20"/>
          <w:szCs w:val="20"/>
        </w:rPr>
      </w:pPr>
      <w:r w:rsidRPr="00C166B3">
        <w:rPr>
          <w:rFonts w:eastAsia="Times New Roman" w:cstheme="minorHAnsi"/>
          <w:bCs/>
          <w:color w:val="000000"/>
          <w:sz w:val="20"/>
          <w:szCs w:val="20"/>
        </w:rPr>
        <w:t>Class 18: High Noise</w:t>
      </w:r>
    </w:p>
    <w:p w:rsidR="00842857" w:rsidRPr="00842857" w:rsidRDefault="00842857" w:rsidP="00842857">
      <w:pPr>
        <w:rPr>
          <w:rFonts w:eastAsia="Times New Roman" w:cstheme="minorHAnsi"/>
          <w:b/>
          <w:bCs/>
          <w:color w:val="000000"/>
          <w:sz w:val="20"/>
          <w:szCs w:val="20"/>
        </w:rPr>
      </w:pPr>
    </w:p>
    <w:p w:rsidR="00842857" w:rsidRPr="00842857" w:rsidRDefault="00842857" w:rsidP="00842857">
      <w:pPr>
        <w:rPr>
          <w:rFonts w:eastAsia="Times New Roman" w:cstheme="minorHAnsi"/>
          <w:b/>
          <w:bCs/>
          <w:color w:val="000000"/>
          <w:sz w:val="20"/>
          <w:szCs w:val="20"/>
        </w:rPr>
      </w:pPr>
      <w:r w:rsidRPr="00842857">
        <w:rPr>
          <w:rFonts w:eastAsia="Times New Roman" w:cstheme="minorHAnsi"/>
          <w:b/>
          <w:bCs/>
          <w:color w:val="000000"/>
          <w:sz w:val="20"/>
          <w:szCs w:val="20"/>
        </w:rPr>
        <w:lastRenderedPageBreak/>
        <w:t xml:space="preserve">Digital Elevation Model (DEM) </w:t>
      </w:r>
    </w:p>
    <w:p w:rsidR="00842857" w:rsidRPr="00C166B3" w:rsidRDefault="00842857" w:rsidP="00842857">
      <w:pPr>
        <w:rPr>
          <w:rFonts w:eastAsia="Times New Roman" w:cstheme="minorHAnsi"/>
          <w:bCs/>
          <w:color w:val="000000"/>
          <w:sz w:val="20"/>
          <w:szCs w:val="20"/>
        </w:rPr>
      </w:pPr>
      <w:bookmarkStart w:id="0" w:name="_GoBack"/>
      <w:r w:rsidRPr="00C166B3">
        <w:rPr>
          <w:rFonts w:eastAsia="Times New Roman" w:cstheme="minorHAnsi"/>
          <w:bCs/>
          <w:color w:val="000000"/>
          <w:sz w:val="20"/>
          <w:szCs w:val="20"/>
        </w:rPr>
        <w:t xml:space="preserve">Generated from classified bare earth points (Class 2) and </w:t>
      </w:r>
      <w:proofErr w:type="spellStart"/>
      <w:r w:rsidRPr="00C166B3">
        <w:rPr>
          <w:rFonts w:eastAsia="Times New Roman" w:cstheme="minorHAnsi"/>
          <w:bCs/>
          <w:color w:val="000000"/>
          <w:sz w:val="20"/>
          <w:szCs w:val="20"/>
        </w:rPr>
        <w:t>breaklines</w:t>
      </w:r>
      <w:proofErr w:type="spellEnd"/>
      <w:r w:rsidRPr="00C166B3">
        <w:rPr>
          <w:rFonts w:eastAsia="Times New Roman" w:cstheme="minorHAnsi"/>
          <w:bCs/>
          <w:color w:val="000000"/>
          <w:sz w:val="20"/>
          <w:szCs w:val="20"/>
        </w:rPr>
        <w:t xml:space="preserve">. Water bodies and streams are hydro-flattened within the DEM. The cell size is 2-foot pixels. Formatted to 32-bit floating grid tiles </w:t>
      </w:r>
      <w:proofErr w:type="gramStart"/>
      <w:r w:rsidRPr="00C166B3">
        <w:rPr>
          <w:rFonts w:eastAsia="Times New Roman" w:cstheme="minorHAnsi"/>
          <w:bCs/>
          <w:color w:val="000000"/>
          <w:sz w:val="20"/>
          <w:szCs w:val="20"/>
        </w:rPr>
        <w:t>(.</w:t>
      </w:r>
      <w:proofErr w:type="spellStart"/>
      <w:r w:rsidRPr="00C166B3">
        <w:rPr>
          <w:rFonts w:eastAsia="Times New Roman" w:cstheme="minorHAnsi"/>
          <w:bCs/>
          <w:color w:val="000000"/>
          <w:sz w:val="20"/>
          <w:szCs w:val="20"/>
        </w:rPr>
        <w:t>flt</w:t>
      </w:r>
      <w:proofErr w:type="spellEnd"/>
      <w:proofErr w:type="gramEnd"/>
      <w:r w:rsidRPr="00C166B3">
        <w:rPr>
          <w:rFonts w:eastAsia="Times New Roman" w:cstheme="minorHAnsi"/>
          <w:bCs/>
          <w:color w:val="000000"/>
          <w:sz w:val="20"/>
          <w:szCs w:val="20"/>
        </w:rPr>
        <w:t>).</w:t>
      </w:r>
    </w:p>
    <w:bookmarkEnd w:id="0"/>
    <w:p w:rsidR="00842857" w:rsidRPr="00842857" w:rsidRDefault="00842857" w:rsidP="00842857">
      <w:pPr>
        <w:rPr>
          <w:rFonts w:eastAsia="Times New Roman" w:cstheme="minorHAnsi"/>
          <w:b/>
          <w:bCs/>
          <w:color w:val="000000"/>
          <w:sz w:val="20"/>
          <w:szCs w:val="20"/>
        </w:rPr>
      </w:pPr>
    </w:p>
    <w:p w:rsidR="00842857" w:rsidRPr="00842857" w:rsidRDefault="00842857" w:rsidP="00842857">
      <w:pPr>
        <w:rPr>
          <w:rFonts w:eastAsia="Times New Roman" w:cstheme="minorHAnsi"/>
          <w:b/>
          <w:bCs/>
          <w:color w:val="000000"/>
          <w:sz w:val="20"/>
          <w:szCs w:val="20"/>
        </w:rPr>
      </w:pPr>
      <w:r w:rsidRPr="00842857">
        <w:rPr>
          <w:rFonts w:eastAsia="Times New Roman" w:cstheme="minorHAnsi"/>
          <w:b/>
          <w:bCs/>
          <w:color w:val="000000"/>
          <w:sz w:val="20"/>
          <w:szCs w:val="20"/>
        </w:rPr>
        <w:t xml:space="preserve"> Topographic improved 2-foot contours</w:t>
      </w:r>
    </w:p>
    <w:p w:rsidR="00842857" w:rsidRPr="00842857" w:rsidRDefault="00842857" w:rsidP="00842857">
      <w:pPr>
        <w:spacing w:after="0" w:line="240" w:lineRule="auto"/>
        <w:rPr>
          <w:rFonts w:eastAsia="Times New Roman" w:cstheme="minorHAnsi"/>
          <w:vanish/>
          <w:color w:val="000000"/>
          <w:sz w:val="20"/>
          <w:szCs w:val="20"/>
        </w:rPr>
      </w:pPr>
      <w:r w:rsidRPr="00C166B3">
        <w:rPr>
          <w:rFonts w:eastAsia="Times New Roman" w:cstheme="minorHAnsi"/>
          <w:bCs/>
          <w:color w:val="000000"/>
          <w:sz w:val="20"/>
          <w:szCs w:val="20"/>
        </w:rPr>
        <w:t xml:space="preserve">Generated at 2-foot contour intervals from the bare earth surface and </w:t>
      </w:r>
      <w:proofErr w:type="spellStart"/>
      <w:r w:rsidRPr="00C166B3">
        <w:rPr>
          <w:rFonts w:eastAsia="Times New Roman" w:cstheme="minorHAnsi"/>
          <w:bCs/>
          <w:color w:val="000000"/>
          <w:sz w:val="20"/>
          <w:szCs w:val="20"/>
        </w:rPr>
        <w:t>breaklines</w:t>
      </w:r>
      <w:proofErr w:type="spellEnd"/>
      <w:r w:rsidRPr="00C166B3">
        <w:rPr>
          <w:rFonts w:eastAsia="Times New Roman" w:cstheme="minorHAnsi"/>
          <w:bCs/>
          <w:color w:val="000000"/>
          <w:sz w:val="20"/>
          <w:szCs w:val="20"/>
        </w:rPr>
        <w:t>. Formatted in ESRI shapefile tiles. Attributed with four types of contours, which are index, index depression, intermediate, and intermediate depression.</w:t>
      </w:r>
      <w:r w:rsidRPr="00842857">
        <w:rPr>
          <w:rFonts w:eastAsia="Times New Roman" w:cstheme="minorHAnsi"/>
          <w:bCs/>
          <w:vanish/>
          <w:color w:val="000000"/>
          <w:sz w:val="20"/>
          <w:szCs w:val="20"/>
        </w:rPr>
        <w:t>Buffalo County 2016 LiDAR Products</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Instructions to download data</w:t>
      </w:r>
    </w:p>
    <w:p w:rsidR="00842857" w:rsidRPr="00842857" w:rsidRDefault="00842857" w:rsidP="00842857">
      <w:pPr>
        <w:numPr>
          <w:ilvl w:val="0"/>
          <w:numId w:val="1"/>
        </w:numPr>
        <w:spacing w:before="100" w:beforeAutospacing="1" w:after="100" w:afterAutospacing="1" w:line="240" w:lineRule="auto"/>
        <w:rPr>
          <w:rFonts w:eastAsia="Times New Roman" w:cstheme="minorHAnsi"/>
          <w:vanish/>
          <w:color w:val="000000"/>
          <w:sz w:val="20"/>
          <w:szCs w:val="20"/>
        </w:rPr>
      </w:pPr>
      <w:r w:rsidRPr="00842857">
        <w:rPr>
          <w:rFonts w:eastAsia="Times New Roman" w:cstheme="minorHAnsi"/>
          <w:vanish/>
          <w:color w:val="000000"/>
          <w:sz w:val="20"/>
          <w:szCs w:val="20"/>
        </w:rPr>
        <w:t>Pan and zoom to the area of interest and click on the section you wish to download.</w:t>
      </w:r>
    </w:p>
    <w:p w:rsidR="00842857" w:rsidRPr="00842857" w:rsidRDefault="00842857" w:rsidP="00842857">
      <w:pPr>
        <w:numPr>
          <w:ilvl w:val="0"/>
          <w:numId w:val="1"/>
        </w:numPr>
        <w:spacing w:before="100" w:beforeAutospacing="1" w:after="100" w:afterAutospacing="1"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Select the link in the popup box to start the download. </w:t>
      </w:r>
    </w:p>
    <w:p w:rsidR="00842857" w:rsidRPr="00842857" w:rsidRDefault="00842857" w:rsidP="00842857">
      <w:pPr>
        <w:numPr>
          <w:ilvl w:val="1"/>
          <w:numId w:val="1"/>
        </w:numPr>
        <w:spacing w:before="100" w:beforeAutospacing="1" w:after="100" w:afterAutospacing="1" w:line="240" w:lineRule="auto"/>
        <w:ind w:left="720"/>
        <w:rPr>
          <w:rFonts w:eastAsia="Times New Roman" w:cstheme="minorHAnsi"/>
          <w:vanish/>
          <w:color w:val="000000"/>
          <w:sz w:val="20"/>
          <w:szCs w:val="20"/>
        </w:rPr>
      </w:pPr>
      <w:r w:rsidRPr="00842857">
        <w:rPr>
          <w:rFonts w:eastAsia="Times New Roman" w:cstheme="minorHAnsi"/>
          <w:vanish/>
          <w:color w:val="000000"/>
          <w:sz w:val="20"/>
          <w:szCs w:val="20"/>
        </w:rPr>
        <w:t>Classified Point Cloud, LAS format</w:t>
      </w:r>
    </w:p>
    <w:p w:rsidR="00842857" w:rsidRPr="00842857" w:rsidRDefault="00842857" w:rsidP="00842857">
      <w:pPr>
        <w:numPr>
          <w:ilvl w:val="1"/>
          <w:numId w:val="1"/>
        </w:numPr>
        <w:spacing w:before="100" w:beforeAutospacing="1" w:after="100" w:afterAutospacing="1" w:line="240" w:lineRule="auto"/>
        <w:ind w:left="720"/>
        <w:rPr>
          <w:rFonts w:eastAsia="Times New Roman" w:cstheme="minorHAnsi"/>
          <w:vanish/>
          <w:color w:val="000000"/>
          <w:sz w:val="20"/>
          <w:szCs w:val="20"/>
        </w:rPr>
      </w:pPr>
      <w:r w:rsidRPr="00842857">
        <w:rPr>
          <w:rFonts w:eastAsia="Times New Roman" w:cstheme="minorHAnsi"/>
          <w:vanish/>
          <w:color w:val="000000"/>
          <w:sz w:val="20"/>
          <w:szCs w:val="20"/>
        </w:rPr>
        <w:t xml:space="preserve">Topographic improved 2-foot contours </w:t>
      </w:r>
    </w:p>
    <w:p w:rsidR="00842857" w:rsidRPr="00842857" w:rsidRDefault="00842857" w:rsidP="00842857">
      <w:pPr>
        <w:numPr>
          <w:ilvl w:val="1"/>
          <w:numId w:val="1"/>
        </w:numPr>
        <w:spacing w:before="100" w:beforeAutospacing="1" w:after="100" w:afterAutospacing="1" w:line="240" w:lineRule="auto"/>
        <w:ind w:left="720"/>
        <w:rPr>
          <w:rFonts w:eastAsia="Times New Roman" w:cstheme="minorHAnsi"/>
          <w:vanish/>
          <w:color w:val="000000"/>
          <w:sz w:val="20"/>
          <w:szCs w:val="20"/>
        </w:rPr>
      </w:pPr>
      <w:r w:rsidRPr="00842857">
        <w:rPr>
          <w:rFonts w:eastAsia="Times New Roman" w:cstheme="minorHAnsi"/>
          <w:vanish/>
          <w:color w:val="000000"/>
          <w:sz w:val="20"/>
          <w:szCs w:val="20"/>
        </w:rPr>
        <w:t>Digital Elevation Model (DEM)</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vanish/>
          <w:color w:val="000000"/>
          <w:sz w:val="20"/>
          <w:szCs w:val="20"/>
        </w:rPr>
        <w:t>About 2016 LiDAR Products</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The process for acquiring LiDAR in Buffalo County began in late 2014 with the announcement of the USGS 3DEP LiDAR Matching Grant Program. In 2015, in coordination with the State of Wisconsin and Ayres Associates the Buffalo County Land Information Office was successfully awarded a USGS 3DEP LiDAR Matching Grant for the collection and processing of LiDAR in the spring in 2016. All LiDAR deliverable products are available in 4,500-foot by 4,500-foot tiles across the county</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vanish/>
          <w:color w:val="000000"/>
          <w:sz w:val="20"/>
          <w:szCs w:val="20"/>
        </w:rPr>
        <w:t>Specifications</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LiDAR data and derivative products to conform to specifications defined in the USGS “National Geospatial Program LiDAR Base Specification Version 1.2”. LiDAR data and meets USGS definition of Quality Level 2 (QL2) and are reference to WISCRS, Buffalo County Coordinates, NAD 83 (11), NAVD 88 (12A), US Survey Feet.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The calibrated LiDAR point cloud used to develop the bare earth surface model (DEM) meets the following vertical accuracy requirements:</w:t>
      </w:r>
    </w:p>
    <w:p w:rsidR="00842857" w:rsidRPr="00842857" w:rsidRDefault="00842857" w:rsidP="00842857">
      <w:pPr>
        <w:numPr>
          <w:ilvl w:val="0"/>
          <w:numId w:val="2"/>
        </w:numPr>
        <w:spacing w:before="100" w:beforeAutospacing="1" w:after="100" w:afterAutospacing="1" w:line="240" w:lineRule="auto"/>
        <w:rPr>
          <w:rFonts w:eastAsia="Times New Roman" w:cstheme="minorHAnsi"/>
          <w:vanish/>
          <w:color w:val="000000"/>
          <w:sz w:val="20"/>
          <w:szCs w:val="20"/>
        </w:rPr>
      </w:pPr>
      <w:r w:rsidRPr="00842857">
        <w:rPr>
          <w:rFonts w:eastAsia="Times New Roman" w:cstheme="minorHAnsi"/>
          <w:vanish/>
          <w:color w:val="000000"/>
          <w:sz w:val="20"/>
          <w:szCs w:val="20"/>
        </w:rPr>
        <w:t>RMSEz (non-vegetated) ≤ 10 cm (Point Cloud and DEM)</w:t>
      </w:r>
    </w:p>
    <w:p w:rsidR="00842857" w:rsidRPr="00842857" w:rsidRDefault="00842857" w:rsidP="00842857">
      <w:pPr>
        <w:numPr>
          <w:ilvl w:val="0"/>
          <w:numId w:val="2"/>
        </w:numPr>
        <w:spacing w:before="100" w:beforeAutospacing="1" w:after="100" w:afterAutospacing="1" w:line="240" w:lineRule="auto"/>
        <w:rPr>
          <w:rFonts w:eastAsia="Times New Roman" w:cstheme="minorHAnsi"/>
          <w:vanish/>
          <w:color w:val="000000"/>
          <w:sz w:val="20"/>
          <w:szCs w:val="20"/>
        </w:rPr>
      </w:pPr>
      <w:r w:rsidRPr="00842857">
        <w:rPr>
          <w:rFonts w:eastAsia="Times New Roman" w:cstheme="minorHAnsi"/>
          <w:vanish/>
          <w:color w:val="000000"/>
          <w:sz w:val="20"/>
          <w:szCs w:val="20"/>
        </w:rPr>
        <w:t>NVA ≤ 19.6 cm at 95% confidence level according to NSSDA standards (Point Cloud and DEM)</w:t>
      </w:r>
    </w:p>
    <w:p w:rsidR="00842857" w:rsidRPr="00842857" w:rsidRDefault="00842857" w:rsidP="00842857">
      <w:pPr>
        <w:numPr>
          <w:ilvl w:val="0"/>
          <w:numId w:val="2"/>
        </w:numPr>
        <w:spacing w:before="100" w:beforeAutospacing="1" w:after="100" w:afterAutospacing="1" w:line="240" w:lineRule="auto"/>
        <w:rPr>
          <w:rFonts w:eastAsia="Times New Roman" w:cstheme="minorHAnsi"/>
          <w:vanish/>
          <w:color w:val="000000"/>
          <w:sz w:val="20"/>
          <w:szCs w:val="20"/>
        </w:rPr>
      </w:pPr>
      <w:r w:rsidRPr="00842857">
        <w:rPr>
          <w:rFonts w:eastAsia="Times New Roman" w:cstheme="minorHAnsi"/>
          <w:vanish/>
          <w:color w:val="000000"/>
          <w:sz w:val="20"/>
          <w:szCs w:val="20"/>
        </w:rPr>
        <w:t>VVA ≤ 29.4 cm at 95th percentile level according to ASPRS guidelines (DEM only)</w:t>
      </w:r>
    </w:p>
    <w:p w:rsidR="00842857" w:rsidRPr="00842857" w:rsidRDefault="00842857" w:rsidP="00842857">
      <w:pPr>
        <w:spacing w:after="0" w:line="240" w:lineRule="auto"/>
        <w:rPr>
          <w:rFonts w:eastAsia="Times New Roman" w:cstheme="minorHAnsi"/>
          <w:vanish/>
          <w:color w:val="000000"/>
          <w:sz w:val="20"/>
          <w:szCs w:val="20"/>
        </w:rPr>
      </w:pPr>
      <w:hyperlink r:id="rId5" w:tgtFrame="_blank" w:history="1">
        <w:r w:rsidRPr="00842857">
          <w:rPr>
            <w:rFonts w:eastAsia="Times New Roman" w:cstheme="minorHAnsi"/>
            <w:b/>
            <w:bCs/>
            <w:vanish/>
            <w:color w:val="555555"/>
            <w:sz w:val="20"/>
            <w:szCs w:val="20"/>
          </w:rPr>
          <w:t>View Vertical Accuracy Report  </w:t>
        </w:r>
      </w:hyperlink>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This report details the absolute vertical accuracy of the LiDAR point cloud and derived DEM as tested against independent survey control points.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vanish/>
          <w:color w:val="000000"/>
          <w:sz w:val="20"/>
          <w:szCs w:val="20"/>
        </w:rPr>
        <w:t>LiDAR Products Details</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i/>
          <w:iCs/>
          <w:vanish/>
          <w:color w:val="000000"/>
          <w:sz w:val="20"/>
          <w:szCs w:val="20"/>
        </w:rPr>
        <w:t>Classified Point Cloud, LAS 1.4 format</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The calibrated LiDAR point cloud is classified to the following base classification scheme: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1: Processed, but unclassified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2: Bare-earth ground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5: High Vegetation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class 6: Buildings</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Class 7: Low Noise</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9: Water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10: Ignored ground (breakline proximity)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xml:space="preserve">Class 17: Bridge Decks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Class 18: High Noise</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i/>
          <w:iCs/>
          <w:vanish/>
          <w:color w:val="000000"/>
          <w:sz w:val="20"/>
          <w:szCs w:val="20"/>
        </w:rPr>
        <w:t>Digital Elevation Model (DEM)</w:t>
      </w:r>
      <w:r w:rsidRPr="00842857">
        <w:rPr>
          <w:rFonts w:eastAsia="Times New Roman" w:cstheme="minorHAnsi"/>
          <w:vanish/>
          <w:color w:val="000000"/>
          <w:sz w:val="20"/>
          <w:szCs w:val="20"/>
        </w:rPr>
        <w:t xml:space="preserve">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Generated from classified bare earth points (Class 2) and breaklines. Water bodies and streams are hydro-flattened within the DEM. The cell size is 2-foot pixels. Formatted to 32-bit floating grid tiles (.flt).</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vanish/>
          <w:color w:val="000000"/>
          <w:sz w:val="20"/>
          <w:szCs w:val="20"/>
        </w:rPr>
        <w:t> </w:t>
      </w:r>
    </w:p>
    <w:p w:rsidR="00842857" w:rsidRPr="00842857" w:rsidRDefault="00842857" w:rsidP="00842857">
      <w:pPr>
        <w:spacing w:after="0" w:line="240" w:lineRule="auto"/>
        <w:rPr>
          <w:rFonts w:eastAsia="Times New Roman" w:cstheme="minorHAnsi"/>
          <w:vanish/>
          <w:color w:val="000000"/>
          <w:sz w:val="20"/>
          <w:szCs w:val="20"/>
        </w:rPr>
      </w:pPr>
      <w:r w:rsidRPr="00842857">
        <w:rPr>
          <w:rFonts w:eastAsia="Times New Roman" w:cstheme="minorHAnsi"/>
          <w:b/>
          <w:bCs/>
          <w:i/>
          <w:iCs/>
          <w:vanish/>
          <w:color w:val="000000"/>
          <w:sz w:val="20"/>
          <w:szCs w:val="20"/>
        </w:rPr>
        <w:t>Topographic improved 2-foot contours</w:t>
      </w:r>
    </w:p>
    <w:p w:rsidR="00AF4453" w:rsidRPr="00842857" w:rsidRDefault="00842857" w:rsidP="00842857">
      <w:pPr>
        <w:rPr>
          <w:rFonts w:cstheme="minorHAnsi"/>
          <w:sz w:val="20"/>
          <w:szCs w:val="20"/>
        </w:rPr>
      </w:pPr>
      <w:r w:rsidRPr="00842857">
        <w:rPr>
          <w:rFonts w:eastAsia="Times New Roman" w:cstheme="minorHAnsi"/>
          <w:vanish/>
          <w:color w:val="000000"/>
          <w:sz w:val="20"/>
          <w:szCs w:val="20"/>
        </w:rPr>
        <w:t>Generated at 2-foot contour intervals from the bare earth surface and breaklines. Formatted in ESRI shapefile tiles. Attributed with four types of contours, which are index, index depression, intermediate, and intermediate depression.</w:t>
      </w:r>
    </w:p>
    <w:sectPr w:rsidR="00AF4453" w:rsidRPr="0084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23AE7"/>
    <w:multiLevelType w:val="multilevel"/>
    <w:tmpl w:val="FD5E8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855D32"/>
    <w:multiLevelType w:val="multilevel"/>
    <w:tmpl w:val="32E0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FB"/>
    <w:rsid w:val="001261FB"/>
    <w:rsid w:val="00842857"/>
    <w:rsid w:val="00AF4453"/>
    <w:rsid w:val="00C1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6506"/>
  <w15:chartTrackingRefBased/>
  <w15:docId w15:val="{4D77D51B-188A-401A-81C9-42DA041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3537">
      <w:bodyDiv w:val="1"/>
      <w:marLeft w:val="0"/>
      <w:marRight w:val="0"/>
      <w:marTop w:val="0"/>
      <w:marBottom w:val="0"/>
      <w:divBdr>
        <w:top w:val="none" w:sz="0" w:space="0" w:color="auto"/>
        <w:left w:val="none" w:sz="0" w:space="0" w:color="auto"/>
        <w:bottom w:val="none" w:sz="0" w:space="0" w:color="auto"/>
        <w:right w:val="none" w:sz="0" w:space="0" w:color="auto"/>
      </w:divBdr>
      <w:divsChild>
        <w:div w:id="801313838">
          <w:marLeft w:val="0"/>
          <w:marRight w:val="0"/>
          <w:marTop w:val="0"/>
          <w:marBottom w:val="0"/>
          <w:divBdr>
            <w:top w:val="none" w:sz="0" w:space="0" w:color="auto"/>
            <w:left w:val="none" w:sz="0" w:space="0" w:color="auto"/>
            <w:bottom w:val="none" w:sz="0" w:space="0" w:color="auto"/>
            <w:right w:val="none" w:sz="0" w:space="0" w:color="auto"/>
          </w:divBdr>
          <w:divsChild>
            <w:div w:id="1147090331">
              <w:marLeft w:val="0"/>
              <w:marRight w:val="0"/>
              <w:marTop w:val="0"/>
              <w:marBottom w:val="0"/>
              <w:divBdr>
                <w:top w:val="none" w:sz="0" w:space="0" w:color="auto"/>
                <w:left w:val="none" w:sz="0" w:space="0" w:color="auto"/>
                <w:bottom w:val="none" w:sz="0" w:space="0" w:color="auto"/>
                <w:right w:val="none" w:sz="0" w:space="0" w:color="auto"/>
              </w:divBdr>
              <w:divsChild>
                <w:div w:id="493840299">
                  <w:marLeft w:val="0"/>
                  <w:marRight w:val="0"/>
                  <w:marTop w:val="0"/>
                  <w:marBottom w:val="0"/>
                  <w:divBdr>
                    <w:top w:val="none" w:sz="0" w:space="0" w:color="auto"/>
                    <w:left w:val="none" w:sz="0" w:space="0" w:color="auto"/>
                    <w:bottom w:val="none" w:sz="0" w:space="0" w:color="auto"/>
                    <w:right w:val="none" w:sz="0" w:space="0" w:color="auto"/>
                  </w:divBdr>
                  <w:divsChild>
                    <w:div w:id="465857197">
                      <w:marLeft w:val="0"/>
                      <w:marRight w:val="0"/>
                      <w:marTop w:val="0"/>
                      <w:marBottom w:val="0"/>
                      <w:divBdr>
                        <w:top w:val="none" w:sz="0" w:space="0" w:color="auto"/>
                        <w:left w:val="none" w:sz="0" w:space="0" w:color="auto"/>
                        <w:bottom w:val="none" w:sz="0" w:space="0" w:color="auto"/>
                        <w:right w:val="none" w:sz="0" w:space="0" w:color="auto"/>
                      </w:divBdr>
                      <w:divsChild>
                        <w:div w:id="296034607">
                          <w:marLeft w:val="0"/>
                          <w:marRight w:val="0"/>
                          <w:marTop w:val="0"/>
                          <w:marBottom w:val="0"/>
                          <w:divBdr>
                            <w:top w:val="none" w:sz="0" w:space="0" w:color="auto"/>
                            <w:left w:val="none" w:sz="0" w:space="0" w:color="auto"/>
                            <w:bottom w:val="none" w:sz="0" w:space="0" w:color="auto"/>
                            <w:right w:val="none" w:sz="0" w:space="0" w:color="auto"/>
                          </w:divBdr>
                          <w:divsChild>
                            <w:div w:id="622425740">
                              <w:marLeft w:val="0"/>
                              <w:marRight w:val="0"/>
                              <w:marTop w:val="0"/>
                              <w:marBottom w:val="0"/>
                              <w:divBdr>
                                <w:top w:val="none" w:sz="0" w:space="0" w:color="auto"/>
                                <w:left w:val="none" w:sz="0" w:space="0" w:color="auto"/>
                                <w:bottom w:val="none" w:sz="0" w:space="0" w:color="auto"/>
                                <w:right w:val="none" w:sz="0" w:space="0" w:color="auto"/>
                              </w:divBdr>
                              <w:divsChild>
                                <w:div w:id="7624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s.buffalocounty.com/downloads/LiDAR/Buffalo%20County_Vertical%20Accuracy%20Report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Rihn, Antoinette D - DNR (Nina)</dc:creator>
  <cp:keywords/>
  <dc:description/>
  <cp:lastModifiedBy>Rihn, Antoinette D - DNR (Nina)</cp:lastModifiedBy>
  <cp:revision>3</cp:revision>
  <dcterms:created xsi:type="dcterms:W3CDTF">2017-12-22T18:54:00Z</dcterms:created>
  <dcterms:modified xsi:type="dcterms:W3CDTF">2017-12-22T18:58:00Z</dcterms:modified>
</cp:coreProperties>
</file>