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03" w:rsidRPr="0018569A" w:rsidRDefault="00096F03" w:rsidP="00C7305E">
      <w:pPr>
        <w:pStyle w:val="NoSpacing"/>
        <w:rPr>
          <w:rFonts w:ascii="Arial" w:hAnsi="Arial" w:cs="Arial"/>
          <w:b/>
        </w:rPr>
      </w:pPr>
      <w:proofErr w:type="spellStart"/>
      <w:r w:rsidRPr="0018569A">
        <w:rPr>
          <w:rFonts w:ascii="Arial" w:hAnsi="Arial" w:cs="Arial"/>
          <w:b/>
        </w:rPr>
        <w:t>Himawari</w:t>
      </w:r>
      <w:proofErr w:type="spellEnd"/>
      <w:r w:rsidRPr="0018569A">
        <w:rPr>
          <w:rFonts w:ascii="Arial" w:hAnsi="Arial" w:cs="Arial"/>
          <w:b/>
        </w:rPr>
        <w:t xml:space="preserve"> AHI Fact Sheet Band 2 (“Green” visible)</w:t>
      </w:r>
    </w:p>
    <w:p w:rsidR="00096F03" w:rsidRPr="0018569A" w:rsidRDefault="00096F03" w:rsidP="00C7305E">
      <w:pPr>
        <w:pStyle w:val="NoSpacing"/>
        <w:rPr>
          <w:rFonts w:ascii="Arial" w:hAnsi="Arial" w:cs="Arial"/>
          <w:i/>
        </w:rPr>
      </w:pPr>
      <w:r w:rsidRPr="0018569A">
        <w:rPr>
          <w:rFonts w:ascii="Arial" w:hAnsi="Arial" w:cs="Arial"/>
          <w:i/>
        </w:rPr>
        <w:t xml:space="preserve">The “need to know” Advanced </w:t>
      </w:r>
      <w:proofErr w:type="spellStart"/>
      <w:r w:rsidRPr="0018569A">
        <w:rPr>
          <w:rFonts w:ascii="Arial" w:hAnsi="Arial" w:cs="Arial"/>
          <w:i/>
        </w:rPr>
        <w:t>Himawari</w:t>
      </w:r>
      <w:proofErr w:type="spellEnd"/>
      <w:r w:rsidRPr="0018569A">
        <w:rPr>
          <w:rFonts w:ascii="Arial" w:hAnsi="Arial" w:cs="Arial"/>
          <w:i/>
        </w:rPr>
        <w:t xml:space="preserve"> Imager reference guide for the NWS forecaster</w:t>
      </w:r>
    </w:p>
    <w:p w:rsidR="00C7305E" w:rsidRPr="00C7305E" w:rsidRDefault="00C7305E" w:rsidP="00C7305E">
      <w:pPr>
        <w:pStyle w:val="NoSpacing"/>
        <w:rPr>
          <w:rFonts w:ascii="Arial" w:hAnsi="Arial" w:cs="Arial"/>
        </w:rPr>
      </w:pPr>
    </w:p>
    <w:p w:rsidR="00C7305E" w:rsidRPr="00C7305E" w:rsidRDefault="00C7305E" w:rsidP="00C7305E">
      <w:pPr>
        <w:pStyle w:val="NoSpacing"/>
        <w:rPr>
          <w:rFonts w:ascii="Arial" w:hAnsi="Arial" w:cs="Arial"/>
        </w:rPr>
      </w:pPr>
      <w:r w:rsidRPr="00C7305E">
        <w:rPr>
          <w:rFonts w:ascii="Arial" w:hAnsi="Arial" w:cs="Arial"/>
        </w:rPr>
        <w:t>November 2014</w:t>
      </w:r>
    </w:p>
    <w:p w:rsidR="00C7305E" w:rsidRDefault="00C7305E" w:rsidP="00C7305E">
      <w:pPr>
        <w:pStyle w:val="NoSpacing"/>
        <w:rPr>
          <w:rStyle w:val="A0"/>
          <w:rFonts w:ascii="Arial" w:hAnsi="Arial" w:cs="Arial"/>
          <w:color w:val="auto"/>
        </w:rPr>
      </w:pPr>
    </w:p>
    <w:p w:rsidR="008B7A49" w:rsidRPr="008B7A49" w:rsidRDefault="00D25E57" w:rsidP="00C7305E">
      <w:pPr>
        <w:pStyle w:val="NoSpacing"/>
        <w:rPr>
          <w:rStyle w:val="A0"/>
          <w:rFonts w:ascii="Arial" w:hAnsi="Arial" w:cs="Arial"/>
          <w:b/>
          <w:color w:val="auto"/>
        </w:rPr>
      </w:pPr>
      <w:r>
        <w:rPr>
          <w:rFonts w:ascii="Arial" w:hAnsi="Arial" w:cs="Arial"/>
          <w:b/>
        </w:rPr>
        <w:t>Front</w:t>
      </w:r>
      <w:r w:rsidR="008B7A49">
        <w:rPr>
          <w:rFonts w:ascii="Arial" w:hAnsi="Arial" w:cs="Arial"/>
          <w:b/>
        </w:rPr>
        <w:t xml:space="preserve"> page – Maintain general layout</w:t>
      </w:r>
    </w:p>
    <w:p w:rsidR="008B7A49" w:rsidRPr="00C7305E" w:rsidRDefault="008B7A49" w:rsidP="00C7305E">
      <w:pPr>
        <w:pStyle w:val="NoSpacing"/>
        <w:rPr>
          <w:rStyle w:val="A0"/>
          <w:rFonts w:ascii="Arial" w:hAnsi="Arial" w:cs="Arial"/>
          <w:color w:val="auto"/>
        </w:rPr>
      </w:pPr>
    </w:p>
    <w:p w:rsidR="00D25E57" w:rsidRDefault="00D25E57" w:rsidP="00C7305E">
      <w:pPr>
        <w:pStyle w:val="NoSpacing"/>
        <w:rPr>
          <w:rStyle w:val="A0"/>
          <w:rFonts w:ascii="Arial" w:hAnsi="Arial" w:cs="Arial"/>
          <w:color w:val="auto"/>
        </w:rPr>
      </w:pPr>
      <w:r>
        <w:rPr>
          <w:rStyle w:val="A0"/>
          <w:rFonts w:ascii="Arial" w:hAnsi="Arial" w:cs="Arial"/>
          <w:color w:val="auto"/>
        </w:rPr>
        <w:t>No changes to header banner (GOES-R satellite); title as above</w:t>
      </w:r>
      <w:bookmarkStart w:id="0" w:name="_GoBack"/>
      <w:bookmarkEnd w:id="0"/>
    </w:p>
    <w:p w:rsidR="00D25E57" w:rsidRDefault="00D25E57" w:rsidP="00C7305E">
      <w:pPr>
        <w:pStyle w:val="NoSpacing"/>
        <w:rPr>
          <w:rStyle w:val="A0"/>
          <w:rFonts w:ascii="Arial" w:hAnsi="Arial" w:cs="Arial"/>
          <w:color w:val="auto"/>
        </w:rPr>
      </w:pPr>
    </w:p>
    <w:p w:rsidR="000F0CCB" w:rsidRPr="00C7305E" w:rsidRDefault="000F0CCB" w:rsidP="00C7305E">
      <w:pPr>
        <w:pStyle w:val="NoSpacing"/>
        <w:rPr>
          <w:rStyle w:val="A0"/>
          <w:rFonts w:ascii="Arial" w:hAnsi="Arial" w:cs="Arial"/>
          <w:color w:val="auto"/>
        </w:rPr>
      </w:pPr>
      <w:r w:rsidRPr="00C7305E">
        <w:rPr>
          <w:rStyle w:val="A0"/>
          <w:rFonts w:ascii="Arial" w:hAnsi="Arial" w:cs="Arial"/>
          <w:color w:val="auto"/>
        </w:rPr>
        <w:t xml:space="preserve">Replace </w:t>
      </w:r>
      <w:r w:rsidR="00C7305E" w:rsidRPr="00C7305E">
        <w:rPr>
          <w:rStyle w:val="A0"/>
          <w:rFonts w:ascii="Arial" w:hAnsi="Arial" w:cs="Arial"/>
          <w:color w:val="auto"/>
        </w:rPr>
        <w:t xml:space="preserve">simulated </w:t>
      </w:r>
      <w:r w:rsidR="003B42BC">
        <w:rPr>
          <w:rStyle w:val="A0"/>
          <w:rFonts w:ascii="Arial" w:hAnsi="Arial" w:cs="Arial"/>
          <w:color w:val="auto"/>
        </w:rPr>
        <w:t xml:space="preserve">hurricane </w:t>
      </w:r>
      <w:r w:rsidR="00C7305E" w:rsidRPr="00C7305E">
        <w:rPr>
          <w:rStyle w:val="A0"/>
          <w:rFonts w:ascii="Arial" w:hAnsi="Arial" w:cs="Arial"/>
          <w:color w:val="auto"/>
        </w:rPr>
        <w:t>image with image from</w:t>
      </w:r>
      <w:r w:rsidR="00C7305E" w:rsidRPr="00C7305E">
        <w:rPr>
          <w:rStyle w:val="A0"/>
          <w:rFonts w:ascii="Arial" w:hAnsi="Arial" w:cs="Arial"/>
          <w:color w:val="auto"/>
        </w:rPr>
        <w:br/>
      </w:r>
      <w:hyperlink r:id="rId6" w:history="1">
        <w:r w:rsidR="00C7305E" w:rsidRPr="00C7305E">
          <w:rPr>
            <w:rStyle w:val="Hyperlink"/>
            <w:rFonts w:ascii="Arial" w:hAnsi="Arial" w:cs="Arial"/>
          </w:rPr>
          <w:t>http://www.jma.go.jp/jma/jma-eng/satellite/news/himawari89/20141007_himawari-8_successfully%20launched.pdf</w:t>
        </w:r>
      </w:hyperlink>
    </w:p>
    <w:p w:rsidR="00C7305E" w:rsidRPr="00C7305E" w:rsidRDefault="00C7305E" w:rsidP="00C7305E">
      <w:pPr>
        <w:pStyle w:val="NoSpacing"/>
        <w:rPr>
          <w:rStyle w:val="A0"/>
          <w:rFonts w:ascii="Arial" w:hAnsi="Arial" w:cs="Arial"/>
          <w:color w:val="auto"/>
        </w:rPr>
      </w:pPr>
      <w:r w:rsidRPr="00C7305E">
        <w:rPr>
          <w:rStyle w:val="A0"/>
          <w:rFonts w:ascii="Arial" w:hAnsi="Arial" w:cs="Arial"/>
          <w:color w:val="auto"/>
        </w:rPr>
        <w:t>Caption:  The next-generation geostationary meteorological satellite of the Japan Me</w:t>
      </w:r>
      <w:r w:rsidR="008B7A49">
        <w:rPr>
          <w:rStyle w:val="A0"/>
          <w:rFonts w:ascii="Arial" w:hAnsi="Arial" w:cs="Arial"/>
          <w:color w:val="auto"/>
        </w:rPr>
        <w:t>teorological Agency, Himawari-</w:t>
      </w:r>
      <w:r w:rsidRPr="00C7305E">
        <w:rPr>
          <w:rStyle w:val="A0"/>
          <w:rFonts w:ascii="Arial" w:hAnsi="Arial" w:cs="Arial"/>
          <w:color w:val="auto"/>
        </w:rPr>
        <w:t xml:space="preserve">8, was successfully launched using H-IIA Launch Vehicle No. 25 at 5:16 UTC on 7 October 2014 from the </w:t>
      </w:r>
      <w:proofErr w:type="spellStart"/>
      <w:r w:rsidRPr="00C7305E">
        <w:rPr>
          <w:rStyle w:val="A0"/>
          <w:rFonts w:ascii="Arial" w:hAnsi="Arial" w:cs="Arial"/>
          <w:color w:val="auto"/>
        </w:rPr>
        <w:t>Tanegashima</w:t>
      </w:r>
      <w:proofErr w:type="spellEnd"/>
      <w:r w:rsidRPr="00C7305E">
        <w:rPr>
          <w:rStyle w:val="A0"/>
          <w:rFonts w:ascii="Arial" w:hAnsi="Arial" w:cs="Arial"/>
          <w:color w:val="auto"/>
        </w:rPr>
        <w:t xml:space="preserve"> Space Center in Kagoshima, Japan.  Photo and caption source:  Japan Meteorological Agency</w:t>
      </w:r>
    </w:p>
    <w:p w:rsidR="00C7305E" w:rsidRPr="00C7305E" w:rsidRDefault="00C7305E" w:rsidP="00C7305E">
      <w:pPr>
        <w:pStyle w:val="NoSpacing"/>
        <w:rPr>
          <w:rStyle w:val="A0"/>
          <w:rFonts w:ascii="Arial" w:hAnsi="Arial" w:cs="Arial"/>
          <w:color w:val="auto"/>
        </w:rPr>
      </w:pPr>
    </w:p>
    <w:p w:rsidR="00096F03" w:rsidRPr="008B7112" w:rsidRDefault="00096F03" w:rsidP="00C7305E">
      <w:pPr>
        <w:pStyle w:val="NoSpacing"/>
        <w:rPr>
          <w:rFonts w:ascii="Arial" w:hAnsi="Arial" w:cs="Arial"/>
          <w:b/>
        </w:rPr>
      </w:pPr>
      <w:r w:rsidRPr="008B7112">
        <w:rPr>
          <w:rFonts w:ascii="Arial" w:hAnsi="Arial" w:cs="Arial"/>
          <w:b/>
        </w:rPr>
        <w:t>In a nutshell</w:t>
      </w:r>
    </w:p>
    <w:p w:rsidR="00C7305E" w:rsidRPr="00C7305E" w:rsidRDefault="00C7305E" w:rsidP="00C7305E">
      <w:pPr>
        <w:pStyle w:val="NoSpacing"/>
        <w:rPr>
          <w:rFonts w:ascii="Arial" w:hAnsi="Arial" w:cs="Arial"/>
        </w:rPr>
      </w:pPr>
    </w:p>
    <w:p w:rsidR="00096F03" w:rsidRPr="00C7305E" w:rsidRDefault="00096F03" w:rsidP="00C7305E">
      <w:pPr>
        <w:pStyle w:val="NoSpacing"/>
        <w:rPr>
          <w:rFonts w:ascii="Arial" w:hAnsi="Arial" w:cs="Arial"/>
        </w:rPr>
      </w:pPr>
      <w:proofErr w:type="spellStart"/>
      <w:r w:rsidRPr="00C7305E">
        <w:rPr>
          <w:rFonts w:ascii="Arial" w:hAnsi="Arial" w:cs="Arial"/>
        </w:rPr>
        <w:t>Himawari</w:t>
      </w:r>
      <w:proofErr w:type="spellEnd"/>
      <w:r w:rsidRPr="00C7305E">
        <w:rPr>
          <w:rFonts w:ascii="Arial" w:hAnsi="Arial" w:cs="Arial"/>
        </w:rPr>
        <w:t xml:space="preserve"> AHI (0.5</w:t>
      </w:r>
      <w:r w:rsidR="00C7305E" w:rsidRPr="00C7305E">
        <w:rPr>
          <w:rFonts w:ascii="Arial" w:hAnsi="Arial" w:cs="Arial"/>
        </w:rPr>
        <w:t>1</w:t>
      </w:r>
      <w:r w:rsidRPr="00C7305E">
        <w:rPr>
          <w:rFonts w:ascii="Arial" w:hAnsi="Arial" w:cs="Arial"/>
        </w:rPr>
        <w:t xml:space="preserve"> </w:t>
      </w:r>
      <w:proofErr w:type="spellStart"/>
      <w:r w:rsidRPr="00C7305E">
        <w:rPr>
          <w:rFonts w:ascii="Arial" w:hAnsi="Arial" w:cs="Arial"/>
        </w:rPr>
        <w:t>μm</w:t>
      </w:r>
      <w:proofErr w:type="spellEnd"/>
      <w:r w:rsidRPr="00C7305E">
        <w:rPr>
          <w:rFonts w:ascii="Arial" w:hAnsi="Arial" w:cs="Arial"/>
        </w:rPr>
        <w:t xml:space="preserve"> central, 0.</w:t>
      </w:r>
      <w:r w:rsidR="00406E3B">
        <w:rPr>
          <w:rFonts w:ascii="Arial" w:hAnsi="Arial" w:cs="Arial"/>
        </w:rPr>
        <w:t>50</w:t>
      </w:r>
      <w:r w:rsidRPr="00C7305E">
        <w:rPr>
          <w:rFonts w:ascii="Arial" w:hAnsi="Arial" w:cs="Arial"/>
        </w:rPr>
        <w:t xml:space="preserve"> </w:t>
      </w:r>
      <w:proofErr w:type="spellStart"/>
      <w:r w:rsidRPr="00C7305E">
        <w:rPr>
          <w:rFonts w:ascii="Arial" w:hAnsi="Arial" w:cs="Arial"/>
        </w:rPr>
        <w:t>μm</w:t>
      </w:r>
      <w:proofErr w:type="spellEnd"/>
      <w:r w:rsidRPr="00C7305E">
        <w:rPr>
          <w:rFonts w:ascii="Arial" w:hAnsi="Arial" w:cs="Arial"/>
        </w:rPr>
        <w:t xml:space="preserve"> to </w:t>
      </w:r>
      <w:r w:rsidR="00C7305E" w:rsidRPr="00C7305E">
        <w:rPr>
          <w:rFonts w:ascii="Arial" w:hAnsi="Arial" w:cs="Arial"/>
        </w:rPr>
        <w:t>0.53</w:t>
      </w:r>
      <w:r w:rsidRPr="00C7305E">
        <w:rPr>
          <w:rFonts w:ascii="Arial" w:hAnsi="Arial" w:cs="Arial"/>
        </w:rPr>
        <w:t xml:space="preserve"> </w:t>
      </w:r>
      <w:proofErr w:type="spellStart"/>
      <w:r w:rsidRPr="00C7305E">
        <w:rPr>
          <w:rFonts w:ascii="Arial" w:hAnsi="Arial" w:cs="Arial"/>
        </w:rPr>
        <w:t>μm</w:t>
      </w:r>
      <w:proofErr w:type="spellEnd"/>
      <w:r w:rsidRPr="00C7305E">
        <w:rPr>
          <w:rFonts w:ascii="Arial" w:hAnsi="Arial" w:cs="Arial"/>
        </w:rPr>
        <w:t>)</w:t>
      </w:r>
    </w:p>
    <w:p w:rsidR="00096F03" w:rsidRDefault="00096F03" w:rsidP="00C7305E">
      <w:pPr>
        <w:pStyle w:val="NoSpacing"/>
        <w:rPr>
          <w:rFonts w:ascii="Arial" w:hAnsi="Arial" w:cs="Arial"/>
        </w:rPr>
      </w:pPr>
    </w:p>
    <w:p w:rsidR="008B7A49" w:rsidRDefault="008B7A49" w:rsidP="00C7305E">
      <w:pPr>
        <w:pStyle w:val="NoSpacing"/>
        <w:rPr>
          <w:rFonts w:ascii="Arial" w:hAnsi="Arial" w:cs="Arial"/>
        </w:rPr>
      </w:pPr>
      <w:r>
        <w:rPr>
          <w:rFonts w:ascii="Arial" w:hAnsi="Arial" w:cs="Arial"/>
        </w:rPr>
        <w:t xml:space="preserve">Also similar to the </w:t>
      </w:r>
      <w:proofErr w:type="spellStart"/>
      <w:r>
        <w:rPr>
          <w:rFonts w:ascii="Arial" w:hAnsi="Arial" w:cs="Arial"/>
        </w:rPr>
        <w:t>Suomi</w:t>
      </w:r>
      <w:proofErr w:type="spellEnd"/>
      <w:r>
        <w:rPr>
          <w:rFonts w:ascii="Arial" w:hAnsi="Arial" w:cs="Arial"/>
        </w:rPr>
        <w:t xml:space="preserve"> NPP VIIRS Band M4</w:t>
      </w:r>
    </w:p>
    <w:p w:rsidR="008B7A49" w:rsidRPr="00C7305E" w:rsidRDefault="008B7A49"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Not</w:t>
      </w:r>
      <w:r w:rsidR="00406E3B">
        <w:rPr>
          <w:rFonts w:ascii="Arial" w:hAnsi="Arial" w:cs="Arial"/>
        </w:rPr>
        <w:t xml:space="preserve"> available on current GOES or</w:t>
      </w:r>
      <w:r w:rsidRPr="00C7305E">
        <w:rPr>
          <w:rFonts w:ascii="Arial" w:hAnsi="Arial" w:cs="Arial"/>
        </w:rPr>
        <w:t xml:space="preserve"> </w:t>
      </w:r>
      <w:r w:rsidR="00406E3B">
        <w:rPr>
          <w:rFonts w:ascii="Arial" w:hAnsi="Arial" w:cs="Arial"/>
        </w:rPr>
        <w:t xml:space="preserve">with </w:t>
      </w:r>
      <w:r w:rsidRPr="00C7305E">
        <w:rPr>
          <w:rFonts w:ascii="Arial" w:hAnsi="Arial" w:cs="Arial"/>
        </w:rPr>
        <w:t>the GOES-R ABI</w:t>
      </w:r>
    </w:p>
    <w:p w:rsidR="00096F03" w:rsidRPr="00C7305E" w:rsidRDefault="00096F03"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Nickname:</w:t>
      </w:r>
      <w:r w:rsidR="00C7305E" w:rsidRPr="00C7305E">
        <w:rPr>
          <w:rFonts w:ascii="Arial" w:hAnsi="Arial" w:cs="Arial"/>
        </w:rPr>
        <w:t xml:space="preserve">  </w:t>
      </w:r>
      <w:r w:rsidRPr="00C7305E">
        <w:rPr>
          <w:rFonts w:ascii="Arial" w:hAnsi="Arial" w:cs="Arial"/>
        </w:rPr>
        <w:t>“Green” visible band</w:t>
      </w:r>
    </w:p>
    <w:p w:rsidR="00096F03" w:rsidRPr="00C7305E" w:rsidRDefault="00096F03"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Availability:</w:t>
      </w:r>
      <w:r w:rsidR="00C7305E" w:rsidRPr="00C7305E">
        <w:rPr>
          <w:rFonts w:ascii="Arial" w:hAnsi="Arial" w:cs="Arial"/>
        </w:rPr>
        <w:t xml:space="preserve">  </w:t>
      </w:r>
      <w:r w:rsidRPr="00C7305E">
        <w:rPr>
          <w:rFonts w:ascii="Arial" w:hAnsi="Arial" w:cs="Arial"/>
        </w:rPr>
        <w:t>Daytime only</w:t>
      </w:r>
    </w:p>
    <w:p w:rsidR="00096F03" w:rsidRPr="00C7305E" w:rsidRDefault="00096F03"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Primary purpose:</w:t>
      </w:r>
      <w:r w:rsidR="00C7305E" w:rsidRPr="00C7305E">
        <w:rPr>
          <w:rFonts w:ascii="Arial" w:hAnsi="Arial" w:cs="Arial"/>
        </w:rPr>
        <w:t xml:space="preserve">  </w:t>
      </w:r>
      <w:r w:rsidR="00406E3B">
        <w:rPr>
          <w:rFonts w:ascii="Arial" w:hAnsi="Arial" w:cs="Arial"/>
        </w:rPr>
        <w:t xml:space="preserve">Solar insolation estimates </w:t>
      </w:r>
    </w:p>
    <w:p w:rsidR="00096F03" w:rsidRPr="00C7305E" w:rsidRDefault="00096F03" w:rsidP="00C7305E">
      <w:pPr>
        <w:pStyle w:val="NoSpacing"/>
        <w:rPr>
          <w:rFonts w:ascii="Arial" w:hAnsi="Arial" w:cs="Arial"/>
        </w:rPr>
      </w:pPr>
    </w:p>
    <w:p w:rsidR="00096F03" w:rsidRPr="00C7305E" w:rsidRDefault="00C7305E" w:rsidP="00C7305E">
      <w:pPr>
        <w:pStyle w:val="NoSpacing"/>
        <w:rPr>
          <w:rFonts w:ascii="Arial" w:hAnsi="Arial" w:cs="Arial"/>
        </w:rPr>
      </w:pPr>
      <w:r w:rsidRPr="00C7305E">
        <w:rPr>
          <w:rFonts w:ascii="Arial" w:hAnsi="Arial" w:cs="Arial"/>
        </w:rPr>
        <w:t xml:space="preserve">Uses similar to:  </w:t>
      </w:r>
      <w:r w:rsidR="00096F03" w:rsidRPr="00C7305E">
        <w:rPr>
          <w:rFonts w:ascii="Arial" w:hAnsi="Arial" w:cs="Arial"/>
        </w:rPr>
        <w:t>GOES-R A</w:t>
      </w:r>
      <w:r w:rsidRPr="00C7305E">
        <w:rPr>
          <w:rFonts w:ascii="Arial" w:hAnsi="Arial" w:cs="Arial"/>
        </w:rPr>
        <w:t>BI Band 1, Band 2</w:t>
      </w:r>
    </w:p>
    <w:p w:rsidR="000F0CCB" w:rsidRPr="00C7305E" w:rsidRDefault="000F0CCB" w:rsidP="00C7305E">
      <w:pPr>
        <w:pStyle w:val="NoSpacing"/>
        <w:rPr>
          <w:rStyle w:val="A0"/>
          <w:rFonts w:ascii="Arial" w:hAnsi="Arial" w:cs="Arial"/>
          <w:color w:val="auto"/>
        </w:rPr>
      </w:pPr>
    </w:p>
    <w:p w:rsidR="00096F03" w:rsidRPr="008B7112" w:rsidRDefault="008B7112" w:rsidP="00C7305E">
      <w:pPr>
        <w:pStyle w:val="NoSpacing"/>
        <w:rPr>
          <w:rStyle w:val="A0"/>
          <w:rFonts w:ascii="Arial" w:hAnsi="Arial" w:cs="Arial"/>
          <w:b/>
          <w:color w:val="auto"/>
        </w:rPr>
      </w:pPr>
      <w:r w:rsidRPr="008B7112">
        <w:rPr>
          <w:rStyle w:val="A0"/>
          <w:rFonts w:ascii="Arial" w:hAnsi="Arial" w:cs="Arial"/>
          <w:b/>
          <w:color w:val="auto"/>
        </w:rPr>
        <w:t>“Core” front text</w:t>
      </w:r>
      <w:r w:rsidR="003B42BC">
        <w:rPr>
          <w:rStyle w:val="A0"/>
          <w:rFonts w:ascii="Arial" w:hAnsi="Arial" w:cs="Arial"/>
          <w:b/>
          <w:color w:val="auto"/>
        </w:rPr>
        <w:t xml:space="preserve"> and image</w:t>
      </w:r>
    </w:p>
    <w:p w:rsidR="00B54995" w:rsidRPr="00C7305E" w:rsidRDefault="00B54995" w:rsidP="00C7305E">
      <w:pPr>
        <w:pStyle w:val="NoSpacing"/>
        <w:rPr>
          <w:rFonts w:ascii="Arial" w:hAnsi="Arial" w:cs="Arial"/>
        </w:rPr>
      </w:pPr>
      <w:r w:rsidRPr="00C7305E">
        <w:rPr>
          <w:rStyle w:val="A0"/>
          <w:rFonts w:ascii="Arial" w:hAnsi="Arial" w:cs="Arial"/>
          <w:color w:val="auto"/>
        </w:rPr>
        <w:t xml:space="preserve">The 0.51 </w:t>
      </w:r>
      <w:proofErr w:type="spellStart"/>
      <w:r w:rsidRPr="00C7305E">
        <w:rPr>
          <w:rStyle w:val="A0"/>
          <w:rFonts w:ascii="Arial" w:hAnsi="Arial" w:cs="Arial"/>
          <w:color w:val="auto"/>
        </w:rPr>
        <w:t>μm</w:t>
      </w:r>
      <w:proofErr w:type="spellEnd"/>
      <w:r w:rsidRPr="00C7305E">
        <w:rPr>
          <w:rStyle w:val="A0"/>
          <w:rFonts w:ascii="Arial" w:hAnsi="Arial" w:cs="Arial"/>
          <w:color w:val="auto"/>
        </w:rPr>
        <w:t xml:space="preserve">, or “green” band, is one of the three visible bands on the </w:t>
      </w:r>
      <w:r w:rsidRPr="00C7305E">
        <w:rPr>
          <w:rFonts w:ascii="Arial" w:hAnsi="Arial" w:cs="Arial"/>
        </w:rPr>
        <w:t xml:space="preserve">Himawari-8/9 Imager (AHI). The planned </w:t>
      </w:r>
      <w:r w:rsidR="008B7A49">
        <w:rPr>
          <w:rStyle w:val="A0"/>
          <w:rFonts w:ascii="Arial" w:hAnsi="Arial" w:cs="Arial"/>
          <w:color w:val="auto"/>
        </w:rPr>
        <w:t>longitude for Himawar</w:t>
      </w:r>
      <w:r w:rsidRPr="00C7305E">
        <w:rPr>
          <w:rStyle w:val="A0"/>
          <w:rFonts w:ascii="Arial" w:hAnsi="Arial" w:cs="Arial"/>
          <w:color w:val="auto"/>
        </w:rPr>
        <w:t xml:space="preserve">i-8 is 140 East </w:t>
      </w:r>
      <w:proofErr w:type="gramStart"/>
      <w:r w:rsidRPr="00C7305E">
        <w:rPr>
          <w:rStyle w:val="A0"/>
          <w:rFonts w:ascii="Arial" w:hAnsi="Arial" w:cs="Arial"/>
          <w:color w:val="auto"/>
        </w:rPr>
        <w:t>longitude</w:t>
      </w:r>
      <w:proofErr w:type="gramEnd"/>
      <w:r w:rsidRPr="00C7305E">
        <w:rPr>
          <w:rStyle w:val="A0"/>
          <w:rFonts w:ascii="Arial" w:hAnsi="Arial" w:cs="Arial"/>
          <w:color w:val="auto"/>
        </w:rPr>
        <w:t xml:space="preserve">. </w:t>
      </w:r>
      <w:r w:rsidR="008B7A49">
        <w:rPr>
          <w:rFonts w:ascii="Arial" w:hAnsi="Arial" w:cs="Arial"/>
        </w:rPr>
        <w:t>The Japan</w:t>
      </w:r>
      <w:r w:rsidRPr="00C7305E">
        <w:rPr>
          <w:rFonts w:ascii="Arial" w:hAnsi="Arial" w:cs="Arial"/>
        </w:rPr>
        <w:t xml:space="preserve"> Meteorological Agency (JMA) recently launched this satellite with AHI as part of its payload. </w:t>
      </w:r>
      <w:r w:rsidRPr="00C7305E">
        <w:rPr>
          <w:rStyle w:val="A0"/>
          <w:rFonts w:ascii="Arial" w:hAnsi="Arial" w:cs="Arial"/>
          <w:color w:val="auto"/>
        </w:rPr>
        <w:t xml:space="preserve">A very similar band, 0.55 </w:t>
      </w:r>
      <w:proofErr w:type="spellStart"/>
      <w:r w:rsidRPr="00C7305E">
        <w:rPr>
          <w:rStyle w:val="A0"/>
          <w:rFonts w:ascii="Arial" w:hAnsi="Arial" w:cs="Arial"/>
          <w:color w:val="auto"/>
        </w:rPr>
        <w:t>μm</w:t>
      </w:r>
      <w:proofErr w:type="spellEnd"/>
      <w:r w:rsidRPr="00C7305E">
        <w:rPr>
          <w:rStyle w:val="A0"/>
          <w:rFonts w:ascii="Arial" w:hAnsi="Arial" w:cs="Arial"/>
          <w:color w:val="auto"/>
        </w:rPr>
        <w:t xml:space="preserve">, has been included on NASA’s MODIS and </w:t>
      </w:r>
      <w:proofErr w:type="spellStart"/>
      <w:r w:rsidRPr="00C7305E">
        <w:rPr>
          <w:rStyle w:val="A0"/>
          <w:rFonts w:ascii="Arial" w:hAnsi="Arial" w:cs="Arial"/>
          <w:color w:val="auto"/>
        </w:rPr>
        <w:t>Suomi</w:t>
      </w:r>
      <w:proofErr w:type="spellEnd"/>
      <w:r w:rsidRPr="00C7305E">
        <w:rPr>
          <w:rStyle w:val="A0"/>
          <w:rFonts w:ascii="Arial" w:hAnsi="Arial" w:cs="Arial"/>
          <w:color w:val="auto"/>
        </w:rPr>
        <w:t xml:space="preserve"> NPP VIIRS instruments.  This band will provide daytime observations related to the land, clouds, and aerosols. This green band</w:t>
      </w:r>
      <w:r w:rsidR="008B7A49">
        <w:rPr>
          <w:rStyle w:val="A0"/>
          <w:rFonts w:ascii="Arial" w:hAnsi="Arial" w:cs="Arial"/>
          <w:color w:val="auto"/>
        </w:rPr>
        <w:t>, combined with the “blue” (0.47</w:t>
      </w:r>
      <w:r w:rsidRPr="00C7305E">
        <w:rPr>
          <w:rStyle w:val="A0"/>
          <w:rFonts w:ascii="Arial" w:hAnsi="Arial" w:cs="Arial"/>
          <w:color w:val="auto"/>
        </w:rPr>
        <w:t xml:space="preserve"> </w:t>
      </w:r>
      <w:proofErr w:type="spellStart"/>
      <w:r w:rsidRPr="00C7305E">
        <w:rPr>
          <w:rStyle w:val="A0"/>
          <w:rFonts w:ascii="Arial" w:hAnsi="Arial" w:cs="Arial"/>
          <w:color w:val="auto"/>
        </w:rPr>
        <w:t>μm</w:t>
      </w:r>
      <w:proofErr w:type="spellEnd"/>
      <w:r w:rsidRPr="00C7305E">
        <w:rPr>
          <w:rStyle w:val="A0"/>
          <w:rFonts w:ascii="Arial" w:hAnsi="Arial" w:cs="Arial"/>
          <w:color w:val="auto"/>
        </w:rPr>
        <w:t xml:space="preserve">) and “red” (0.64 </w:t>
      </w:r>
      <w:proofErr w:type="spellStart"/>
      <w:r w:rsidRPr="00C7305E">
        <w:rPr>
          <w:rStyle w:val="A0"/>
          <w:rFonts w:ascii="Arial" w:hAnsi="Arial" w:cs="Arial"/>
          <w:color w:val="auto"/>
        </w:rPr>
        <w:t>μm</w:t>
      </w:r>
      <w:proofErr w:type="spellEnd"/>
      <w:r w:rsidRPr="00C7305E">
        <w:rPr>
          <w:rStyle w:val="A0"/>
          <w:rFonts w:ascii="Arial" w:hAnsi="Arial" w:cs="Arial"/>
          <w:color w:val="auto"/>
        </w:rPr>
        <w:t xml:space="preserve">) bands will provide “natural color” imagery of the Earth-atmosphere system. This band is essential for a natural ‘true color’ Red-Green-Blue (RGB) composite. Measurements in the green band can be used for air pollution studies, and other products such </w:t>
      </w:r>
      <w:r w:rsidR="008B7A49">
        <w:rPr>
          <w:rStyle w:val="A0"/>
          <w:rFonts w:ascii="Arial" w:hAnsi="Arial" w:cs="Arial"/>
          <w:color w:val="auto"/>
        </w:rPr>
        <w:t>as solar insolation esti</w:t>
      </w:r>
      <w:r w:rsidR="008B7A49">
        <w:rPr>
          <w:rStyle w:val="A0"/>
          <w:rFonts w:ascii="Arial" w:hAnsi="Arial" w:cs="Arial"/>
          <w:color w:val="auto"/>
        </w:rPr>
        <w:softHyphen/>
        <w:t>mates.</w:t>
      </w:r>
    </w:p>
    <w:p w:rsidR="00B54995" w:rsidRPr="00C7305E" w:rsidRDefault="00B54995" w:rsidP="00C7305E">
      <w:pPr>
        <w:pStyle w:val="NoSpacing"/>
        <w:rPr>
          <w:rFonts w:ascii="Arial" w:hAnsi="Arial" w:cs="Arial"/>
        </w:rPr>
      </w:pPr>
    </w:p>
    <w:p w:rsidR="003D4440" w:rsidRPr="00C7305E" w:rsidRDefault="003D4440" w:rsidP="00C7305E">
      <w:pPr>
        <w:pStyle w:val="NoSpacing"/>
        <w:rPr>
          <w:rFonts w:ascii="Arial" w:hAnsi="Arial" w:cs="Arial"/>
        </w:rPr>
      </w:pPr>
      <w:r w:rsidRPr="00C7305E">
        <w:rPr>
          <w:rFonts w:ascii="Arial" w:hAnsi="Arial" w:cs="Arial"/>
          <w:noProof/>
        </w:rPr>
        <w:lastRenderedPageBreak/>
        <w:drawing>
          <wp:inline distT="0" distB="0" distL="0" distR="0" wp14:anchorId="6A375386" wp14:editId="678C210E">
            <wp:extent cx="5943600" cy="2971800"/>
            <wp:effectExtent l="0" t="0" r="0" b="0"/>
            <wp:docPr id="1" name="Picture 1" descr="ftp://ftp.ssec.wisc.edu/ABI/joleenf/tims/greenBand/side-by_side_SuomiNPP_M4band_truecolor_Image_20131017_2044N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ftp.ssec.wisc.edu/ABI/joleenf/tims/greenBand/side-by_side_SuomiNPP_M4band_truecolor_Image_20131017_2044No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3D4440" w:rsidRPr="00C7305E" w:rsidRDefault="003D4440" w:rsidP="00C7305E">
      <w:pPr>
        <w:pStyle w:val="NoSpacing"/>
        <w:rPr>
          <w:rFonts w:ascii="Arial" w:hAnsi="Arial" w:cs="Arial"/>
        </w:rPr>
      </w:pPr>
      <w:proofErr w:type="spellStart"/>
      <w:r w:rsidRPr="00C7305E">
        <w:rPr>
          <w:rFonts w:ascii="Arial" w:hAnsi="Arial" w:cs="Arial"/>
        </w:rPr>
        <w:t>Suomi</w:t>
      </w:r>
      <w:proofErr w:type="spellEnd"/>
      <w:r w:rsidRPr="00C7305E">
        <w:rPr>
          <w:rFonts w:ascii="Arial" w:hAnsi="Arial" w:cs="Arial"/>
        </w:rPr>
        <w:t xml:space="preserve"> NPP images of a similar ‘green’ (left-hand side) and ‘true color’ (right-hand side) images. Note the snow, low cloud and vegetation in the 0.55 µm band, which is a key component to the true color image. The image is over part of Canada (October 17, 2014). Image from CIMSS</w:t>
      </w:r>
    </w:p>
    <w:p w:rsidR="003D4440" w:rsidRPr="00C7305E" w:rsidRDefault="003D4440" w:rsidP="00C7305E">
      <w:pPr>
        <w:pStyle w:val="NoSpacing"/>
        <w:rPr>
          <w:rFonts w:ascii="Arial" w:hAnsi="Arial" w:cs="Arial"/>
        </w:rPr>
      </w:pPr>
    </w:p>
    <w:p w:rsidR="003D4440" w:rsidRPr="00C7305E" w:rsidRDefault="008B7112" w:rsidP="00C7305E">
      <w:pPr>
        <w:pStyle w:val="NoSpacing"/>
        <w:rPr>
          <w:rFonts w:ascii="Arial" w:hAnsi="Arial" w:cs="Arial"/>
          <w:b/>
        </w:rPr>
      </w:pPr>
      <w:r>
        <w:rPr>
          <w:rFonts w:ascii="Arial" w:hAnsi="Arial" w:cs="Arial"/>
          <w:b/>
        </w:rPr>
        <w:t>Did Y</w:t>
      </w:r>
      <w:r w:rsidR="008B7A49">
        <w:rPr>
          <w:rFonts w:ascii="Arial" w:hAnsi="Arial" w:cs="Arial"/>
          <w:b/>
        </w:rPr>
        <w:t>ou Know?</w:t>
      </w:r>
    </w:p>
    <w:p w:rsidR="003D4440" w:rsidRPr="00C7305E" w:rsidRDefault="003D4440" w:rsidP="00C7305E">
      <w:pPr>
        <w:pStyle w:val="NoSpacing"/>
        <w:rPr>
          <w:rFonts w:ascii="Arial" w:hAnsi="Arial" w:cs="Arial"/>
        </w:rPr>
      </w:pPr>
      <w:r w:rsidRPr="00C7305E">
        <w:rPr>
          <w:rFonts w:ascii="Arial" w:hAnsi="Arial" w:cs="Arial"/>
        </w:rPr>
        <w:t xml:space="preserve">Unlike the AHI, there is no ‘green’ band on the ABI on the GOES-R series. Hence, this band will need to be approximated from other spectral bands for use in generating ‘true color’ imagery. In the case of the ABI, this approach will be a look-up table using the ‘blue’ (0.47 </w:t>
      </w:r>
      <w:proofErr w:type="spellStart"/>
      <w:r w:rsidRPr="00C7305E">
        <w:rPr>
          <w:rStyle w:val="A0"/>
          <w:rFonts w:ascii="Arial" w:hAnsi="Arial" w:cs="Arial"/>
          <w:color w:val="auto"/>
        </w:rPr>
        <w:t>μm</w:t>
      </w:r>
      <w:proofErr w:type="spellEnd"/>
      <w:r w:rsidRPr="00C7305E">
        <w:rPr>
          <w:rStyle w:val="A0"/>
          <w:rFonts w:ascii="Arial" w:hAnsi="Arial" w:cs="Arial"/>
          <w:color w:val="auto"/>
        </w:rPr>
        <w:t xml:space="preserve">), ‘red’ (0.64 </w:t>
      </w:r>
      <w:proofErr w:type="spellStart"/>
      <w:r w:rsidRPr="00C7305E">
        <w:rPr>
          <w:rStyle w:val="A0"/>
          <w:rFonts w:ascii="Arial" w:hAnsi="Arial" w:cs="Arial"/>
          <w:color w:val="auto"/>
        </w:rPr>
        <w:t>μm</w:t>
      </w:r>
      <w:proofErr w:type="spellEnd"/>
      <w:r w:rsidRPr="00C7305E">
        <w:rPr>
          <w:rStyle w:val="A0"/>
          <w:rFonts w:ascii="Arial" w:hAnsi="Arial" w:cs="Arial"/>
          <w:color w:val="auto"/>
        </w:rPr>
        <w:t>) and the ‘veggie’ (</w:t>
      </w:r>
      <w:r w:rsidRPr="00C7305E">
        <w:rPr>
          <w:rFonts w:ascii="Arial" w:hAnsi="Arial" w:cs="Arial"/>
        </w:rPr>
        <w:t xml:space="preserve">0.86 </w:t>
      </w:r>
      <w:proofErr w:type="spellStart"/>
      <w:r w:rsidRPr="00C7305E">
        <w:rPr>
          <w:rStyle w:val="A0"/>
          <w:rFonts w:ascii="Arial" w:hAnsi="Arial" w:cs="Arial"/>
          <w:color w:val="auto"/>
        </w:rPr>
        <w:t>μm</w:t>
      </w:r>
      <w:proofErr w:type="spellEnd"/>
      <w:r w:rsidRPr="00C7305E">
        <w:rPr>
          <w:rStyle w:val="A0"/>
          <w:rFonts w:ascii="Arial" w:hAnsi="Arial" w:cs="Arial"/>
          <w:color w:val="auto"/>
        </w:rPr>
        <w:t>) bands. Of course this is only an approximation</w:t>
      </w:r>
      <w:r w:rsidR="00B65A95">
        <w:rPr>
          <w:rStyle w:val="A0"/>
          <w:rFonts w:ascii="Arial" w:hAnsi="Arial" w:cs="Arial"/>
          <w:color w:val="auto"/>
        </w:rPr>
        <w:t>.</w:t>
      </w:r>
      <w:r w:rsidRPr="00C7305E">
        <w:rPr>
          <w:rStyle w:val="A0"/>
          <w:rFonts w:ascii="Arial" w:hAnsi="Arial" w:cs="Arial"/>
          <w:color w:val="auto"/>
        </w:rPr>
        <w:t xml:space="preserve"> </w:t>
      </w:r>
    </w:p>
    <w:p w:rsidR="003D4440" w:rsidRDefault="003D4440" w:rsidP="00C7305E">
      <w:pPr>
        <w:pStyle w:val="NoSpacing"/>
        <w:rPr>
          <w:rFonts w:ascii="Arial" w:hAnsi="Arial" w:cs="Arial"/>
        </w:rPr>
      </w:pPr>
    </w:p>
    <w:p w:rsidR="008B7112" w:rsidRPr="008B7A49" w:rsidRDefault="008B7112" w:rsidP="00C7305E">
      <w:pPr>
        <w:pStyle w:val="NoSpacing"/>
        <w:rPr>
          <w:rFonts w:ascii="Arial" w:hAnsi="Arial" w:cs="Arial"/>
          <w:b/>
        </w:rPr>
      </w:pPr>
      <w:r w:rsidRPr="008B7A49">
        <w:rPr>
          <w:rFonts w:ascii="Arial" w:hAnsi="Arial" w:cs="Arial"/>
          <w:b/>
        </w:rPr>
        <w:t>Back page – Reformat layout</w:t>
      </w:r>
    </w:p>
    <w:p w:rsidR="008B7112" w:rsidRDefault="008B7112" w:rsidP="00C7305E">
      <w:pPr>
        <w:pStyle w:val="NoSpacing"/>
        <w:rPr>
          <w:rFonts w:ascii="Arial" w:hAnsi="Arial" w:cs="Arial"/>
        </w:rPr>
      </w:pPr>
      <w:r>
        <w:rPr>
          <w:rFonts w:ascii="Arial" w:hAnsi="Arial" w:cs="Arial"/>
        </w:rPr>
        <w:t>Remove “Baseline Products by Band” table, spectral bands plot, and small table near bottom of</w:t>
      </w:r>
    </w:p>
    <w:p w:rsidR="008B7112" w:rsidRPr="00C7305E" w:rsidRDefault="008B7112" w:rsidP="00C7305E">
      <w:pPr>
        <w:pStyle w:val="NoSpacing"/>
        <w:rPr>
          <w:rFonts w:ascii="Arial" w:hAnsi="Arial" w:cs="Arial"/>
        </w:rPr>
      </w:pPr>
    </w:p>
    <w:p w:rsidR="003D4440" w:rsidRPr="00C7305E" w:rsidRDefault="003D4440" w:rsidP="00C7305E">
      <w:pPr>
        <w:pStyle w:val="NoSpacing"/>
        <w:rPr>
          <w:rFonts w:ascii="Arial" w:hAnsi="Arial" w:cs="Arial"/>
        </w:rPr>
      </w:pPr>
      <w:r w:rsidRPr="00C7305E">
        <w:rPr>
          <w:rFonts w:ascii="Arial" w:hAnsi="Arial" w:cs="Arial"/>
          <w:b/>
        </w:rPr>
        <w:t>Tim’s Topics</w:t>
      </w:r>
    </w:p>
    <w:p w:rsidR="003B42BC" w:rsidRDefault="003B42BC" w:rsidP="00C7305E">
      <w:pPr>
        <w:pStyle w:val="NoSpacing"/>
        <w:rPr>
          <w:rFonts w:ascii="Arial" w:hAnsi="Arial" w:cs="Arial"/>
        </w:rPr>
      </w:pPr>
    </w:p>
    <w:p w:rsidR="003B42BC" w:rsidRDefault="003B42BC" w:rsidP="003B42BC">
      <w:pPr>
        <w:pStyle w:val="NoSpacing"/>
        <w:numPr>
          <w:ilvl w:val="0"/>
          <w:numId w:val="1"/>
        </w:numPr>
        <w:rPr>
          <w:rFonts w:ascii="Arial" w:hAnsi="Arial" w:cs="Arial"/>
        </w:rPr>
      </w:pPr>
      <w:r>
        <w:rPr>
          <w:rFonts w:ascii="Arial" w:hAnsi="Arial" w:cs="Arial"/>
        </w:rPr>
        <w:t>Use same photo as currently.</w:t>
      </w:r>
    </w:p>
    <w:p w:rsidR="003B42BC" w:rsidRDefault="003B42BC" w:rsidP="00C7305E">
      <w:pPr>
        <w:pStyle w:val="NoSpacing"/>
        <w:rPr>
          <w:rFonts w:ascii="Arial" w:hAnsi="Arial" w:cs="Arial"/>
        </w:rPr>
      </w:pPr>
    </w:p>
    <w:p w:rsidR="003D4440" w:rsidRDefault="003D4440" w:rsidP="00C7305E">
      <w:pPr>
        <w:pStyle w:val="NoSpacing"/>
        <w:rPr>
          <w:rFonts w:ascii="Arial" w:hAnsi="Arial" w:cs="Arial"/>
        </w:rPr>
      </w:pPr>
      <w:r w:rsidRPr="00C7305E">
        <w:rPr>
          <w:rFonts w:ascii="Arial" w:hAnsi="Arial" w:cs="Arial"/>
        </w:rPr>
        <w:t>There are two main avenues for acquiring AHI imagery from JMA in near real</w:t>
      </w:r>
      <w:r w:rsidR="00B65A95">
        <w:rPr>
          <w:rFonts w:ascii="Arial" w:hAnsi="Arial" w:cs="Arial"/>
        </w:rPr>
        <w:t>-</w:t>
      </w:r>
      <w:r w:rsidRPr="00C7305E">
        <w:rPr>
          <w:rFonts w:ascii="Arial" w:hAnsi="Arial" w:cs="Arial"/>
        </w:rPr>
        <w:t>time. The first is a downlink (</w:t>
      </w:r>
      <w:proofErr w:type="spellStart"/>
      <w:r w:rsidRPr="00C7305E">
        <w:rPr>
          <w:rFonts w:ascii="Arial" w:hAnsi="Arial" w:cs="Arial"/>
        </w:rPr>
        <w:t>HimawariCast</w:t>
      </w:r>
      <w:proofErr w:type="spellEnd"/>
      <w:r w:rsidRPr="00C7305E">
        <w:rPr>
          <w:rFonts w:ascii="Arial" w:hAnsi="Arial" w:cs="Arial"/>
        </w:rPr>
        <w:t>) via a communication satellite, although this will be a limited number of bands (5) and at reduced spatial resolutions (4 and 1 km for the infrared and visible bands, respectively). This downlink option is only possible over part of the globe. The other option is via an internet cloud service for satellite providers, this option consists of the full resolution data (both spectrally and spatially</w:t>
      </w:r>
      <w:r w:rsidR="008B7112">
        <w:rPr>
          <w:rFonts w:ascii="Arial" w:hAnsi="Arial" w:cs="Arial"/>
        </w:rPr>
        <w:t>) and hence a larger data rate.</w:t>
      </w:r>
    </w:p>
    <w:p w:rsidR="008B7112" w:rsidRPr="00C7305E" w:rsidRDefault="008B7112" w:rsidP="00C7305E">
      <w:pPr>
        <w:pStyle w:val="NoSpacing"/>
        <w:rPr>
          <w:rFonts w:ascii="Arial" w:hAnsi="Arial" w:cs="Arial"/>
        </w:rPr>
      </w:pPr>
    </w:p>
    <w:p w:rsidR="003D4440" w:rsidRPr="00C7305E" w:rsidRDefault="003D4440" w:rsidP="00C7305E">
      <w:pPr>
        <w:pStyle w:val="NoSpacing"/>
        <w:rPr>
          <w:rFonts w:ascii="Arial" w:hAnsi="Arial" w:cs="Arial"/>
          <w:b/>
        </w:rPr>
      </w:pPr>
      <w:r w:rsidRPr="00C7305E">
        <w:rPr>
          <w:rFonts w:ascii="Arial" w:hAnsi="Arial" w:cs="Arial"/>
        </w:rPr>
        <w:t xml:space="preserve">A spectral band centered near 0.5 </w:t>
      </w:r>
      <w:proofErr w:type="spellStart"/>
      <w:r w:rsidRPr="00C7305E">
        <w:rPr>
          <w:rStyle w:val="A0"/>
          <w:rFonts w:ascii="Arial" w:hAnsi="Arial" w:cs="Arial"/>
          <w:color w:val="auto"/>
        </w:rPr>
        <w:t>μm</w:t>
      </w:r>
      <w:proofErr w:type="spellEnd"/>
      <w:r w:rsidRPr="00C7305E">
        <w:rPr>
          <w:rStyle w:val="A0"/>
          <w:rFonts w:ascii="Arial" w:hAnsi="Arial" w:cs="Arial"/>
          <w:color w:val="auto"/>
        </w:rPr>
        <w:t xml:space="preserve"> is unique in that it is an ingredient when generating ‘true color’ imagery (the ‘green’ band), but also that that wavelength is very near the peak intensity from our sun, as well as the peak wavelength for the response of the human eye. Also, aerosol products, such as optical depth, have a standard reference wavelength: </w:t>
      </w:r>
      <w:r w:rsidR="00C7305E" w:rsidRPr="00C7305E">
        <w:rPr>
          <w:rFonts w:ascii="Arial" w:hAnsi="Arial" w:cs="Arial"/>
        </w:rPr>
        <w:t>0.5</w:t>
      </w:r>
      <w:r w:rsidRPr="00C7305E">
        <w:rPr>
          <w:rFonts w:ascii="Arial" w:hAnsi="Arial" w:cs="Arial"/>
        </w:rPr>
        <w:t xml:space="preserve"> </w:t>
      </w:r>
      <w:proofErr w:type="spellStart"/>
      <w:r w:rsidRPr="00C7305E">
        <w:rPr>
          <w:rStyle w:val="A0"/>
          <w:rFonts w:ascii="Arial" w:hAnsi="Arial" w:cs="Arial"/>
          <w:color w:val="auto"/>
        </w:rPr>
        <w:t>μm</w:t>
      </w:r>
      <w:proofErr w:type="spellEnd"/>
      <w:r w:rsidRPr="00C7305E">
        <w:rPr>
          <w:rStyle w:val="A0"/>
          <w:rFonts w:ascii="Arial" w:hAnsi="Arial" w:cs="Arial"/>
          <w:color w:val="auto"/>
        </w:rPr>
        <w:t>.</w:t>
      </w:r>
    </w:p>
    <w:p w:rsidR="003D4440" w:rsidRPr="00C7305E" w:rsidRDefault="00C7305E" w:rsidP="00C7305E">
      <w:pPr>
        <w:pStyle w:val="NoSpacing"/>
        <w:rPr>
          <w:rFonts w:ascii="Arial" w:hAnsi="Arial" w:cs="Arial"/>
        </w:rPr>
      </w:pPr>
      <w:r w:rsidRPr="00C7305E">
        <w:rPr>
          <w:rFonts w:ascii="Arial" w:hAnsi="Arial" w:cs="Arial"/>
          <w:noProof/>
        </w:rPr>
        <w:lastRenderedPageBreak/>
        <w:drawing>
          <wp:inline distT="0" distB="0" distL="0" distR="0" wp14:anchorId="05DD0D13" wp14:editId="0C4B5677">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dyRadiance_Sun_VisNIRWavelengths_LuminousEfficiencyEy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D4440" w:rsidRDefault="003D4440" w:rsidP="00C7305E">
      <w:pPr>
        <w:pStyle w:val="NoSpacing"/>
        <w:rPr>
          <w:rFonts w:ascii="Arial" w:hAnsi="Arial" w:cs="Arial"/>
        </w:rPr>
      </w:pPr>
      <w:r w:rsidRPr="00C7305E">
        <w:rPr>
          <w:rFonts w:ascii="Arial" w:hAnsi="Arial" w:cs="Arial"/>
        </w:rPr>
        <w:t xml:space="preserve">Caption: Intensity plots for the sun’s temperature and the human eye. Source: </w:t>
      </w:r>
      <w:r w:rsidR="008B7112">
        <w:rPr>
          <w:rFonts w:ascii="Arial" w:hAnsi="Arial" w:cs="Arial"/>
        </w:rPr>
        <w:t xml:space="preserve">Paul </w:t>
      </w:r>
      <w:proofErr w:type="spellStart"/>
      <w:r w:rsidR="008B7112">
        <w:rPr>
          <w:rFonts w:ascii="Arial" w:hAnsi="Arial" w:cs="Arial"/>
        </w:rPr>
        <w:t>Menzel</w:t>
      </w:r>
      <w:proofErr w:type="spellEnd"/>
      <w:r w:rsidR="008B7112">
        <w:rPr>
          <w:rFonts w:ascii="Arial" w:hAnsi="Arial" w:cs="Arial"/>
        </w:rPr>
        <w:t xml:space="preserve">, Matthew </w:t>
      </w:r>
      <w:proofErr w:type="spellStart"/>
      <w:r w:rsidR="008B7112">
        <w:rPr>
          <w:rFonts w:ascii="Arial" w:hAnsi="Arial" w:cs="Arial"/>
        </w:rPr>
        <w:t>Gunshor</w:t>
      </w:r>
      <w:proofErr w:type="spellEnd"/>
      <w:r w:rsidR="008B7112">
        <w:rPr>
          <w:rFonts w:ascii="Arial" w:hAnsi="Arial" w:cs="Arial"/>
        </w:rPr>
        <w:t>,</w:t>
      </w:r>
      <w:r w:rsidRPr="00C7305E">
        <w:rPr>
          <w:rFonts w:ascii="Arial" w:hAnsi="Arial" w:cs="Arial"/>
        </w:rPr>
        <w:t xml:space="preserve"> and the </w:t>
      </w:r>
      <w:proofErr w:type="spellStart"/>
      <w:r w:rsidRPr="00C7305E">
        <w:rPr>
          <w:rFonts w:ascii="Arial" w:hAnsi="Arial" w:cs="Arial"/>
        </w:rPr>
        <w:t>Colour</w:t>
      </w:r>
      <w:proofErr w:type="spellEnd"/>
      <w:r w:rsidRPr="00C7305E">
        <w:rPr>
          <w:rFonts w:ascii="Arial" w:hAnsi="Arial" w:cs="Arial"/>
        </w:rPr>
        <w:t xml:space="preserve"> and Vision Research laboratory. Credit: CIMSS.</w:t>
      </w:r>
    </w:p>
    <w:p w:rsidR="001358CD" w:rsidRPr="001358CD" w:rsidRDefault="001358CD" w:rsidP="00C7305E">
      <w:pPr>
        <w:pStyle w:val="NoSpacing"/>
        <w:rPr>
          <w:rFonts w:ascii="Arial" w:hAnsi="Arial" w:cs="Arial"/>
          <w:sz w:val="18"/>
        </w:rPr>
      </w:pPr>
    </w:p>
    <w:p w:rsidR="001358CD" w:rsidRPr="001358CD" w:rsidRDefault="001358CD" w:rsidP="001358CD">
      <w:pPr>
        <w:spacing w:after="0" w:line="240" w:lineRule="auto"/>
        <w:rPr>
          <w:rFonts w:ascii="Arial" w:eastAsia="Times New Roman" w:hAnsi="Arial" w:cs="Arial"/>
          <w:szCs w:val="25"/>
        </w:rPr>
      </w:pPr>
      <w:r w:rsidRPr="001358CD">
        <w:rPr>
          <w:rFonts w:ascii="Arial" w:eastAsia="Times New Roman" w:hAnsi="Arial" w:cs="Arial"/>
          <w:szCs w:val="25"/>
        </w:rPr>
        <w:t xml:space="preserve">Tim </w:t>
      </w:r>
      <w:proofErr w:type="spellStart"/>
      <w:r w:rsidRPr="001358CD">
        <w:rPr>
          <w:rFonts w:ascii="Arial" w:eastAsia="Times New Roman" w:hAnsi="Arial" w:cs="Arial"/>
          <w:szCs w:val="25"/>
        </w:rPr>
        <w:t>Schmit</w:t>
      </w:r>
      <w:proofErr w:type="spellEnd"/>
      <w:r w:rsidRPr="001358CD">
        <w:rPr>
          <w:rFonts w:ascii="Arial" w:eastAsia="Times New Roman" w:hAnsi="Arial" w:cs="Arial"/>
          <w:szCs w:val="25"/>
        </w:rPr>
        <w:t xml:space="preserve"> is a research meteorologist with NESDIS in Madison, Wisconsin.</w:t>
      </w:r>
    </w:p>
    <w:p w:rsidR="003D4440" w:rsidRPr="00C7305E" w:rsidRDefault="003D4440" w:rsidP="00C7305E">
      <w:pPr>
        <w:pStyle w:val="NoSpacing"/>
        <w:rPr>
          <w:rFonts w:ascii="Arial" w:hAnsi="Arial" w:cs="Arial"/>
        </w:rPr>
      </w:pPr>
    </w:p>
    <w:p w:rsidR="003D4440" w:rsidRDefault="003D4440" w:rsidP="00C7305E">
      <w:pPr>
        <w:pStyle w:val="NoSpacing"/>
        <w:rPr>
          <w:rFonts w:ascii="Arial" w:hAnsi="Arial" w:cs="Arial"/>
        </w:rPr>
      </w:pPr>
      <w:r w:rsidRPr="0018569A">
        <w:rPr>
          <w:rFonts w:ascii="Arial" w:hAnsi="Arial" w:cs="Arial"/>
          <w:b/>
        </w:rPr>
        <w:t>Ward’s Words</w:t>
      </w:r>
      <w:r w:rsidRPr="00C7305E">
        <w:rPr>
          <w:rFonts w:ascii="Arial" w:hAnsi="Arial" w:cs="Arial"/>
        </w:rPr>
        <w:t xml:space="preserve"> (replaces </w:t>
      </w:r>
      <w:proofErr w:type="spellStart"/>
      <w:r w:rsidRPr="00C7305E">
        <w:rPr>
          <w:rFonts w:ascii="Arial" w:hAnsi="Arial" w:cs="Arial"/>
        </w:rPr>
        <w:t>Carven’s</w:t>
      </w:r>
      <w:proofErr w:type="spellEnd"/>
      <w:r w:rsidRPr="00C7305E">
        <w:rPr>
          <w:rFonts w:ascii="Arial" w:hAnsi="Arial" w:cs="Arial"/>
        </w:rPr>
        <w:t xml:space="preserve"> Corner)</w:t>
      </w:r>
    </w:p>
    <w:p w:rsidR="0018569A" w:rsidRDefault="0018569A" w:rsidP="0018569A">
      <w:pPr>
        <w:pStyle w:val="NoSpacing"/>
        <w:jc w:val="both"/>
        <w:rPr>
          <w:rFonts w:ascii="Arial" w:hAnsi="Arial" w:cs="Arial"/>
        </w:rPr>
      </w:pPr>
    </w:p>
    <w:p w:rsidR="003B42BC" w:rsidRDefault="003B42BC" w:rsidP="003B42BC">
      <w:pPr>
        <w:pStyle w:val="NoSpacing"/>
        <w:numPr>
          <w:ilvl w:val="0"/>
          <w:numId w:val="1"/>
        </w:numPr>
        <w:jc w:val="both"/>
        <w:rPr>
          <w:rFonts w:ascii="Arial" w:hAnsi="Arial" w:cs="Arial"/>
        </w:rPr>
      </w:pPr>
      <w:r>
        <w:rPr>
          <w:rFonts w:ascii="Arial" w:hAnsi="Arial" w:cs="Arial"/>
        </w:rPr>
        <w:t>Leave current picture for now.  New picture from Bill coming soon.</w:t>
      </w:r>
    </w:p>
    <w:p w:rsidR="003B42BC" w:rsidRDefault="003B42BC" w:rsidP="0018569A">
      <w:pPr>
        <w:pStyle w:val="NoSpacing"/>
        <w:jc w:val="both"/>
        <w:rPr>
          <w:rFonts w:ascii="Arial" w:hAnsi="Arial" w:cs="Arial"/>
        </w:rPr>
      </w:pPr>
    </w:p>
    <w:p w:rsidR="0018569A" w:rsidRDefault="000049B5" w:rsidP="0018569A">
      <w:pPr>
        <w:pStyle w:val="NoSpacing"/>
        <w:jc w:val="both"/>
        <w:rPr>
          <w:rFonts w:ascii="Arial" w:hAnsi="Arial" w:cs="Arial"/>
        </w:rPr>
      </w:pPr>
      <w:r>
        <w:rPr>
          <w:rFonts w:ascii="Arial" w:hAnsi="Arial" w:cs="Arial"/>
        </w:rPr>
        <w:t xml:space="preserve">In Pacific Region, we are very fortunate to have the opportunity with Japan’s </w:t>
      </w:r>
      <w:proofErr w:type="spellStart"/>
      <w:r>
        <w:rPr>
          <w:rFonts w:ascii="Arial" w:hAnsi="Arial" w:cs="Arial"/>
        </w:rPr>
        <w:t>Himawari</w:t>
      </w:r>
      <w:proofErr w:type="spellEnd"/>
      <w:r>
        <w:rPr>
          <w:rFonts w:ascii="Arial" w:hAnsi="Arial" w:cs="Arial"/>
        </w:rPr>
        <w:t xml:space="preserve"> satellite to explore the capabilities of the ABI </w:t>
      </w:r>
      <w:r w:rsidR="003B42BC">
        <w:rPr>
          <w:rFonts w:ascii="Arial" w:hAnsi="Arial" w:cs="Arial"/>
        </w:rPr>
        <w:t xml:space="preserve">prior to the launch of GOES-R. </w:t>
      </w:r>
      <w:r>
        <w:rPr>
          <w:rFonts w:ascii="Arial" w:hAnsi="Arial" w:cs="Arial"/>
        </w:rPr>
        <w:t xml:space="preserve">The Japanese Advanced </w:t>
      </w:r>
      <w:proofErr w:type="spellStart"/>
      <w:r>
        <w:rPr>
          <w:rFonts w:ascii="Arial" w:hAnsi="Arial" w:cs="Arial"/>
        </w:rPr>
        <w:t>Himawari</w:t>
      </w:r>
      <w:proofErr w:type="spellEnd"/>
      <w:r>
        <w:rPr>
          <w:rFonts w:ascii="Arial" w:hAnsi="Arial" w:cs="Arial"/>
        </w:rPr>
        <w:t xml:space="preserve"> Imagery, or AHI, is very similar to the AB</w:t>
      </w:r>
      <w:r w:rsidR="003B42BC">
        <w:rPr>
          <w:rFonts w:ascii="Arial" w:hAnsi="Arial" w:cs="Arial"/>
        </w:rPr>
        <w:t>I, with only a few differences.</w:t>
      </w:r>
      <w:r>
        <w:rPr>
          <w:rFonts w:ascii="Arial" w:hAnsi="Arial" w:cs="Arial"/>
        </w:rPr>
        <w:t xml:space="preserve"> One of the major differences is that the AHI hosts a green</w:t>
      </w:r>
      <w:r w:rsidR="001358CD">
        <w:rPr>
          <w:rFonts w:ascii="Arial" w:hAnsi="Arial" w:cs="Arial"/>
        </w:rPr>
        <w:t xml:space="preserve"> visible</w:t>
      </w:r>
      <w:r w:rsidR="003B42BC">
        <w:rPr>
          <w:rFonts w:ascii="Arial" w:hAnsi="Arial" w:cs="Arial"/>
        </w:rPr>
        <w:t xml:space="preserve"> band. </w:t>
      </w:r>
      <w:r>
        <w:rPr>
          <w:rFonts w:ascii="Arial" w:hAnsi="Arial" w:cs="Arial"/>
        </w:rPr>
        <w:t xml:space="preserve">Other than allowing us to produce true color imagery that is useful for communicating weather hazards to the public and our emergency partners, the green band can be used in concert with the 0.86 </w:t>
      </w:r>
      <w:r w:rsidRPr="00C7305E">
        <w:rPr>
          <w:rFonts w:ascii="Arial" w:hAnsi="Arial" w:cs="Arial"/>
        </w:rPr>
        <w:t>µm</w:t>
      </w:r>
      <w:r>
        <w:rPr>
          <w:rFonts w:ascii="Arial" w:hAnsi="Arial" w:cs="Arial"/>
        </w:rPr>
        <w:t xml:space="preserve"> “Veggie” band to provide forecasters with information about land use</w:t>
      </w:r>
      <w:r w:rsidR="001358CD">
        <w:rPr>
          <w:rFonts w:ascii="Arial" w:hAnsi="Arial" w:cs="Arial"/>
        </w:rPr>
        <w:t xml:space="preserve"> and healthy vegetation for fire weather forecasting, as well as substantial vegetation on </w:t>
      </w:r>
      <w:r w:rsidR="002A5086">
        <w:rPr>
          <w:rFonts w:ascii="Arial" w:hAnsi="Arial" w:cs="Arial"/>
        </w:rPr>
        <w:t xml:space="preserve">or near </w:t>
      </w:r>
      <w:r w:rsidR="001358CD">
        <w:rPr>
          <w:rFonts w:ascii="Arial" w:hAnsi="Arial" w:cs="Arial"/>
        </w:rPr>
        <w:t>the surface of bodies of water.</w:t>
      </w:r>
    </w:p>
    <w:p w:rsidR="000049B5" w:rsidRDefault="000049B5" w:rsidP="0018569A">
      <w:pPr>
        <w:pStyle w:val="NoSpacing"/>
        <w:jc w:val="both"/>
        <w:rPr>
          <w:rFonts w:ascii="Arial" w:hAnsi="Arial" w:cs="Arial"/>
        </w:rPr>
      </w:pPr>
    </w:p>
    <w:p w:rsidR="000049B5" w:rsidRDefault="000049B5" w:rsidP="0018569A">
      <w:pPr>
        <w:pStyle w:val="NoSpacing"/>
        <w:jc w:val="both"/>
        <w:rPr>
          <w:rFonts w:ascii="Arial" w:hAnsi="Arial" w:cs="Arial"/>
        </w:rPr>
      </w:pPr>
      <w:r>
        <w:rPr>
          <w:rFonts w:ascii="Arial" w:hAnsi="Arial" w:cs="Arial"/>
        </w:rPr>
        <w:t>The green band complements the blue and red visible bands, which have very similar utilities for monitoring cloud features during the day.</w:t>
      </w:r>
      <w:r w:rsidR="001358CD">
        <w:rPr>
          <w:rFonts w:ascii="Arial" w:hAnsi="Arial" w:cs="Arial"/>
        </w:rPr>
        <w:t xml:space="preserve"> Even with the green band, the AHI does not observe the complete visible band</w:t>
      </w:r>
      <w:r w:rsidR="003B42BC">
        <w:rPr>
          <w:rFonts w:ascii="Arial" w:hAnsi="Arial" w:cs="Arial"/>
        </w:rPr>
        <w:t xml:space="preserve">. </w:t>
      </w:r>
      <w:r w:rsidR="001358CD">
        <w:rPr>
          <w:rFonts w:ascii="Arial" w:hAnsi="Arial" w:cs="Arial"/>
        </w:rPr>
        <w:t>For that reason, even with true color imagery using the green band, certain yellow and orange features may not appear on imagery in the same fashion that they are observable with the human eye.</w:t>
      </w:r>
    </w:p>
    <w:p w:rsidR="000049B5" w:rsidRDefault="000049B5" w:rsidP="0018569A">
      <w:pPr>
        <w:pStyle w:val="NoSpacing"/>
        <w:jc w:val="both"/>
        <w:rPr>
          <w:rFonts w:ascii="Arial" w:hAnsi="Arial" w:cs="Arial"/>
        </w:rPr>
      </w:pPr>
    </w:p>
    <w:p w:rsidR="000049B5" w:rsidRDefault="000049B5" w:rsidP="0018569A">
      <w:pPr>
        <w:pStyle w:val="NoSpacing"/>
        <w:jc w:val="both"/>
        <w:rPr>
          <w:rFonts w:ascii="Arial" w:hAnsi="Arial" w:cs="Arial"/>
        </w:rPr>
      </w:pPr>
      <w:r>
        <w:rPr>
          <w:rFonts w:ascii="Arial" w:hAnsi="Arial" w:cs="Arial"/>
        </w:rPr>
        <w:t xml:space="preserve">NWS forecasters in Alaska Region and Pacific Region will be able to access imagery from </w:t>
      </w:r>
      <w:proofErr w:type="spellStart"/>
      <w:r w:rsidR="003B42BC">
        <w:rPr>
          <w:rFonts w:ascii="Arial" w:hAnsi="Arial" w:cs="Arial"/>
        </w:rPr>
        <w:t>Himawari</w:t>
      </w:r>
      <w:proofErr w:type="spellEnd"/>
      <w:r w:rsidR="003B42BC">
        <w:rPr>
          <w:rFonts w:ascii="Arial" w:hAnsi="Arial" w:cs="Arial"/>
        </w:rPr>
        <w:t xml:space="preserve"> in the summer of 2015.</w:t>
      </w:r>
      <w:r>
        <w:rPr>
          <w:rFonts w:ascii="Arial" w:hAnsi="Arial" w:cs="Arial"/>
        </w:rPr>
        <w:t xml:space="preserve"> Full-resolution </w:t>
      </w:r>
      <w:proofErr w:type="spellStart"/>
      <w:r>
        <w:rPr>
          <w:rFonts w:ascii="Arial" w:hAnsi="Arial" w:cs="Arial"/>
        </w:rPr>
        <w:t>Himawari</w:t>
      </w:r>
      <w:proofErr w:type="spellEnd"/>
      <w:r>
        <w:rPr>
          <w:rFonts w:ascii="Arial" w:hAnsi="Arial" w:cs="Arial"/>
        </w:rPr>
        <w:t xml:space="preserve"> imagery will be shared with the NWS from NESDIS via a terrestrial line, but antennas in Alaska and Hawaii will also be able to receive a subset of the bands with a slightly reduced spatial resolution.</w:t>
      </w:r>
    </w:p>
    <w:p w:rsidR="001358CD" w:rsidRPr="001358CD" w:rsidRDefault="001358CD" w:rsidP="0018569A">
      <w:pPr>
        <w:pStyle w:val="NoSpacing"/>
        <w:jc w:val="both"/>
        <w:rPr>
          <w:rFonts w:ascii="Arial" w:hAnsi="Arial" w:cs="Arial"/>
          <w:sz w:val="18"/>
        </w:rPr>
      </w:pPr>
    </w:p>
    <w:p w:rsidR="001358CD" w:rsidRPr="001358CD" w:rsidRDefault="001358CD" w:rsidP="001358CD">
      <w:pPr>
        <w:spacing w:after="0" w:line="240" w:lineRule="auto"/>
        <w:rPr>
          <w:rFonts w:ascii="Arial" w:eastAsia="Times New Roman" w:hAnsi="Arial" w:cs="Arial"/>
          <w:szCs w:val="25"/>
        </w:rPr>
      </w:pPr>
      <w:r w:rsidRPr="001358CD">
        <w:rPr>
          <w:rFonts w:ascii="Arial" w:eastAsia="Times New Roman" w:hAnsi="Arial" w:cs="Arial"/>
          <w:szCs w:val="25"/>
        </w:rPr>
        <w:t>Bill Ward is the ESSD Chief in NWS Pacific Region and a former Guam forecaster.</w:t>
      </w:r>
    </w:p>
    <w:p w:rsidR="00576611" w:rsidRDefault="00576611" w:rsidP="00C7305E">
      <w:pPr>
        <w:pStyle w:val="NoSpacing"/>
        <w:rPr>
          <w:rFonts w:ascii="Arial" w:hAnsi="Arial" w:cs="Arial"/>
        </w:rPr>
      </w:pPr>
    </w:p>
    <w:p w:rsidR="009254FF" w:rsidRDefault="009254FF" w:rsidP="00C7305E">
      <w:pPr>
        <w:pStyle w:val="NoSpacing"/>
        <w:rPr>
          <w:rFonts w:ascii="Arial" w:hAnsi="Arial" w:cs="Arial"/>
          <w:b/>
        </w:rPr>
      </w:pPr>
      <w:proofErr w:type="spellStart"/>
      <w:r w:rsidRPr="0018569A">
        <w:rPr>
          <w:rFonts w:ascii="Arial" w:hAnsi="Arial" w:cs="Arial"/>
          <w:b/>
        </w:rPr>
        <w:t>Himawari</w:t>
      </w:r>
      <w:proofErr w:type="spellEnd"/>
      <w:r w:rsidRPr="0018569A">
        <w:rPr>
          <w:rFonts w:ascii="Arial" w:hAnsi="Arial" w:cs="Arial"/>
          <w:b/>
        </w:rPr>
        <w:t xml:space="preserve"> Band Table</w:t>
      </w:r>
    </w:p>
    <w:p w:rsidR="003B42BC" w:rsidRDefault="003B42BC" w:rsidP="00C7305E">
      <w:pPr>
        <w:pStyle w:val="NoSpacing"/>
        <w:rPr>
          <w:rFonts w:ascii="Arial" w:hAnsi="Arial" w:cs="Arial"/>
          <w:b/>
        </w:rPr>
      </w:pPr>
    </w:p>
    <w:p w:rsidR="003B42BC" w:rsidRPr="003B42BC" w:rsidRDefault="003B42BC" w:rsidP="00C7305E">
      <w:pPr>
        <w:pStyle w:val="NoSpacing"/>
        <w:rPr>
          <w:rFonts w:ascii="Arial" w:hAnsi="Arial" w:cs="Arial"/>
        </w:rPr>
      </w:pPr>
      <w:r>
        <w:rPr>
          <w:rFonts w:ascii="Arial" w:hAnsi="Arial" w:cs="Arial"/>
        </w:rPr>
        <w:t xml:space="preserve">This chart lists the bands on the Advanced </w:t>
      </w:r>
      <w:proofErr w:type="spellStart"/>
      <w:r>
        <w:rPr>
          <w:rFonts w:ascii="Arial" w:hAnsi="Arial" w:cs="Arial"/>
        </w:rPr>
        <w:t>Himawari</w:t>
      </w:r>
      <w:proofErr w:type="spellEnd"/>
      <w:r>
        <w:rPr>
          <w:rFonts w:ascii="Arial" w:hAnsi="Arial" w:cs="Arial"/>
        </w:rPr>
        <w:t xml:space="preserve"> Imager.  </w:t>
      </w:r>
      <w:r w:rsidR="008B7A49" w:rsidRPr="00C7305E">
        <w:rPr>
          <w:rStyle w:val="A0"/>
          <w:rFonts w:ascii="Arial" w:hAnsi="Arial" w:cs="Arial"/>
          <w:color w:val="auto"/>
        </w:rPr>
        <w:t xml:space="preserve">The AHI is a 16-band imager, where 15 of the 16 bands are spectrally similar to the Advanced Baseline Imager (ABI), where the AHI has the green band, although no 1.38 </w:t>
      </w:r>
      <w:proofErr w:type="spellStart"/>
      <w:r w:rsidR="008B7A49" w:rsidRPr="00C7305E">
        <w:rPr>
          <w:rStyle w:val="A0"/>
          <w:rFonts w:ascii="Arial" w:hAnsi="Arial" w:cs="Arial"/>
          <w:color w:val="auto"/>
        </w:rPr>
        <w:t>μm</w:t>
      </w:r>
      <w:proofErr w:type="spellEnd"/>
      <w:r w:rsidR="008B7A49" w:rsidRPr="00C7305E">
        <w:rPr>
          <w:rStyle w:val="A0"/>
          <w:rFonts w:ascii="Arial" w:hAnsi="Arial" w:cs="Arial"/>
          <w:color w:val="auto"/>
        </w:rPr>
        <w:t xml:space="preserve"> near-infrared band that is on the ABI. The 1.38 </w:t>
      </w:r>
      <w:proofErr w:type="spellStart"/>
      <w:r w:rsidR="008B7A49" w:rsidRPr="00C7305E">
        <w:rPr>
          <w:rStyle w:val="A0"/>
          <w:rFonts w:ascii="Arial" w:hAnsi="Arial" w:cs="Arial"/>
          <w:color w:val="auto"/>
        </w:rPr>
        <w:t>μm</w:t>
      </w:r>
      <w:proofErr w:type="spellEnd"/>
      <w:r w:rsidR="008B7A49" w:rsidRPr="00C7305E">
        <w:rPr>
          <w:rStyle w:val="A0"/>
          <w:rFonts w:ascii="Arial" w:hAnsi="Arial" w:cs="Arial"/>
          <w:color w:val="auto"/>
        </w:rPr>
        <w:t xml:space="preserve"> can be used for daytime detection of upper-level clouds.</w:t>
      </w:r>
    </w:p>
    <w:p w:rsidR="00576611" w:rsidRPr="00C7305E" w:rsidRDefault="00576611" w:rsidP="00C7305E">
      <w:pPr>
        <w:pStyle w:val="NoSpacing"/>
        <w:rPr>
          <w:rFonts w:ascii="Arial" w:hAnsi="Arial" w:cs="Arial"/>
        </w:rPr>
      </w:pPr>
    </w:p>
    <w:tbl>
      <w:tblPr>
        <w:tblW w:w="9214" w:type="dxa"/>
        <w:tblCellMar>
          <w:left w:w="0" w:type="dxa"/>
          <w:right w:w="0" w:type="dxa"/>
        </w:tblCellMar>
        <w:tblLook w:val="0600" w:firstRow="0" w:lastRow="0" w:firstColumn="0" w:lastColumn="0" w:noHBand="1" w:noVBand="1"/>
      </w:tblPr>
      <w:tblGrid>
        <w:gridCol w:w="954"/>
        <w:gridCol w:w="1236"/>
        <w:gridCol w:w="1104"/>
        <w:gridCol w:w="2078"/>
        <w:gridCol w:w="1710"/>
        <w:gridCol w:w="2132"/>
      </w:tblGrid>
      <w:tr w:rsidR="008B7112" w:rsidRPr="00C7305E" w:rsidTr="003B42BC">
        <w:trPr>
          <w:trHeight w:val="868"/>
        </w:trPr>
        <w:tc>
          <w:tcPr>
            <w:tcW w:w="954"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b/>
              </w:rPr>
            </w:pPr>
            <w:r w:rsidRPr="00C7305E">
              <w:rPr>
                <w:rFonts w:ascii="Arial" w:hAnsi="Arial" w:cs="Arial"/>
                <w:b/>
              </w:rPr>
              <w:t>Band</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b/>
              </w:rPr>
            </w:pPr>
            <w:r>
              <w:rPr>
                <w:rFonts w:ascii="Arial" w:hAnsi="Arial" w:cs="Arial"/>
                <w:b/>
              </w:rPr>
              <w:t xml:space="preserve">Approximate </w:t>
            </w:r>
            <w:r w:rsidRPr="00C7305E">
              <w:rPr>
                <w:rFonts w:ascii="Arial" w:hAnsi="Arial" w:cs="Arial"/>
                <w:b/>
              </w:rPr>
              <w:t>Central Wavelength</w:t>
            </w:r>
          </w:p>
        </w:tc>
        <w:tc>
          <w:tcPr>
            <w:tcW w:w="207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B7112" w:rsidRPr="00C7305E" w:rsidRDefault="008B7112" w:rsidP="003B42BC">
            <w:pPr>
              <w:pStyle w:val="NoSpacing"/>
              <w:jc w:val="center"/>
              <w:rPr>
                <w:rFonts w:ascii="Arial" w:hAnsi="Arial" w:cs="Arial"/>
                <w:b/>
              </w:rPr>
            </w:pPr>
            <w:r>
              <w:rPr>
                <w:rFonts w:ascii="Arial" w:hAnsi="Arial" w:cs="Arial"/>
                <w:b/>
              </w:rPr>
              <w:t>Band “Nickname”</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57" w:type="dxa"/>
              <w:left w:w="144" w:type="dxa"/>
              <w:bottom w:w="57" w:type="dxa"/>
              <w:right w:w="144" w:type="dxa"/>
            </w:tcMar>
            <w:vAlign w:val="center"/>
            <w:hideMark/>
          </w:tcPr>
          <w:p w:rsidR="008B7112" w:rsidRPr="00C7305E" w:rsidRDefault="003B42BC" w:rsidP="003B42BC">
            <w:pPr>
              <w:pStyle w:val="NoSpacing"/>
              <w:jc w:val="center"/>
              <w:rPr>
                <w:rFonts w:ascii="Arial" w:hAnsi="Arial" w:cs="Arial"/>
                <w:b/>
              </w:rPr>
            </w:pPr>
            <w:r>
              <w:rPr>
                <w:rFonts w:ascii="Arial" w:hAnsi="Arial" w:cs="Arial"/>
                <w:b/>
              </w:rPr>
              <w:t>Nominal sub satellite pixel spacing</w:t>
            </w:r>
          </w:p>
        </w:tc>
        <w:tc>
          <w:tcPr>
            <w:tcW w:w="213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B7112" w:rsidRPr="00C7305E" w:rsidRDefault="008B7112" w:rsidP="003B42BC">
            <w:pPr>
              <w:pStyle w:val="NoSpacing"/>
              <w:jc w:val="center"/>
              <w:rPr>
                <w:rFonts w:ascii="Arial" w:hAnsi="Arial" w:cs="Arial"/>
                <w:b/>
              </w:rPr>
            </w:pPr>
            <w:r w:rsidRPr="00C7305E">
              <w:rPr>
                <w:rFonts w:ascii="Arial" w:hAnsi="Arial" w:cs="Arial"/>
                <w:b/>
              </w:rPr>
              <w:t>Difference from ABI</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0.4</w:t>
            </w:r>
            <w:r>
              <w:rPr>
                <w:rFonts w:ascii="Arial" w:hAnsi="Arial" w:cs="Arial"/>
              </w:rPr>
              <w:t>7</w:t>
            </w:r>
            <w:r w:rsidRPr="00C7305E">
              <w:rPr>
                <w:rFonts w:ascii="Arial" w:hAnsi="Arial" w:cs="Arial"/>
              </w:rPr>
              <w:t xml:space="preserve"> µm (Blue)</w:t>
            </w:r>
          </w:p>
        </w:tc>
        <w:tc>
          <w:tcPr>
            <w:tcW w:w="20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B7112" w:rsidRPr="00C7305E" w:rsidRDefault="008B7112" w:rsidP="003B42BC">
            <w:pPr>
              <w:pStyle w:val="NoSpacing"/>
              <w:jc w:val="center"/>
              <w:rPr>
                <w:rFonts w:ascii="Arial" w:hAnsi="Arial" w:cs="Arial"/>
              </w:rPr>
            </w:pPr>
            <w:r>
              <w:rPr>
                <w:rFonts w:ascii="Arial" w:hAnsi="Arial" w:cs="Arial"/>
              </w:rPr>
              <w:t>“Blue” visible band</w:t>
            </w:r>
          </w:p>
        </w:tc>
        <w:tc>
          <w:tcPr>
            <w:tcW w:w="1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 km</w:t>
            </w:r>
          </w:p>
        </w:tc>
        <w:tc>
          <w:tcPr>
            <w:tcW w:w="21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B7112" w:rsidRPr="00C7305E" w:rsidRDefault="008B7112" w:rsidP="003B42BC">
            <w:pPr>
              <w:pStyle w:val="NoSpacing"/>
              <w:jc w:val="center"/>
              <w:rPr>
                <w:rFonts w:ascii="Arial" w:hAnsi="Arial" w:cs="Arial"/>
              </w:rPr>
            </w:pPr>
            <w:r>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0.51 µm (Green)</w:t>
            </w:r>
          </w:p>
        </w:tc>
        <w:tc>
          <w:tcPr>
            <w:tcW w:w="207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8B7112" w:rsidRPr="00C7305E" w:rsidRDefault="008B7112" w:rsidP="003B42BC">
            <w:pPr>
              <w:pStyle w:val="NoSpacing"/>
              <w:jc w:val="center"/>
              <w:rPr>
                <w:rFonts w:ascii="Arial" w:hAnsi="Arial" w:cs="Arial"/>
              </w:rPr>
            </w:pPr>
            <w:r>
              <w:rPr>
                <w:rFonts w:ascii="Arial" w:hAnsi="Arial" w:cs="Arial"/>
              </w:rPr>
              <w:t>“Green” visible band</w:t>
            </w:r>
          </w:p>
        </w:tc>
        <w:tc>
          <w:tcPr>
            <w:tcW w:w="17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 km</w:t>
            </w:r>
          </w:p>
        </w:tc>
        <w:tc>
          <w:tcPr>
            <w:tcW w:w="21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8B7112" w:rsidRPr="00C7305E" w:rsidRDefault="008B7112" w:rsidP="003B42BC">
            <w:pPr>
              <w:pStyle w:val="NoSpacing"/>
              <w:jc w:val="center"/>
              <w:rPr>
                <w:rFonts w:ascii="Arial" w:hAnsi="Arial" w:cs="Arial"/>
              </w:rPr>
            </w:pPr>
            <w:r w:rsidRPr="00C7305E">
              <w:rPr>
                <w:rFonts w:ascii="Arial" w:hAnsi="Arial" w:cs="Arial"/>
              </w:rPr>
              <w:t>Not present on ABI</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0.64 µm (Red)</w:t>
            </w:r>
          </w:p>
        </w:tc>
        <w:tc>
          <w:tcPr>
            <w:tcW w:w="207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8B7112" w:rsidRPr="00C7305E" w:rsidRDefault="008B7112" w:rsidP="003B42BC">
            <w:pPr>
              <w:pStyle w:val="NoSpacing"/>
              <w:jc w:val="center"/>
              <w:rPr>
                <w:rFonts w:ascii="Arial" w:hAnsi="Arial" w:cs="Arial"/>
              </w:rPr>
            </w:pPr>
            <w:r>
              <w:rPr>
                <w:rFonts w:ascii="Arial" w:hAnsi="Arial" w:cs="Arial"/>
              </w:rPr>
              <w:t>“Red” visible band</w:t>
            </w:r>
          </w:p>
        </w:tc>
        <w:tc>
          <w:tcPr>
            <w:tcW w:w="17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0.5 km</w:t>
            </w:r>
          </w:p>
        </w:tc>
        <w:tc>
          <w:tcPr>
            <w:tcW w:w="2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0.86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“Veggie”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Slight difference from central wavelength</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1.6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“Snow”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sidRPr="00C7305E">
              <w:rPr>
                <w:rFonts w:ascii="Arial" w:hAnsi="Arial" w:cs="Arial"/>
              </w:rPr>
              <w:t>ABI resolution is 1 km</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2.3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“Cloud top phase”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Slight difference from central wavelength</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3.9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Shortwave IR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219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b/>
              </w:rPr>
            </w:pPr>
          </w:p>
        </w:tc>
        <w:tc>
          <w:tcPr>
            <w:tcW w:w="7024"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tcPr>
          <w:p w:rsidR="008B7112" w:rsidRPr="00C7305E" w:rsidRDefault="008B7112" w:rsidP="003B42BC">
            <w:pPr>
              <w:pStyle w:val="NoSpacing"/>
              <w:jc w:val="center"/>
              <w:rPr>
                <w:rFonts w:ascii="Arial" w:hAnsi="Arial" w:cs="Arial"/>
                <w:b/>
              </w:rPr>
            </w:pPr>
            <w:r w:rsidRPr="00C7305E">
              <w:rPr>
                <w:rFonts w:ascii="Arial" w:hAnsi="Arial" w:cs="Arial"/>
                <w:b/>
              </w:rPr>
              <w:t>Water Vapor Channels</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6.2 µm</w:t>
            </w:r>
          </w:p>
        </w:tc>
        <w:tc>
          <w:tcPr>
            <w:tcW w:w="2078"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rPr>
            </w:pPr>
            <w:r>
              <w:rPr>
                <w:rFonts w:ascii="Arial" w:hAnsi="Arial" w:cs="Arial"/>
              </w:rPr>
              <w:t>Upper-level tropospheric water vapor band</w:t>
            </w:r>
          </w:p>
        </w:tc>
        <w:tc>
          <w:tcPr>
            <w:tcW w:w="17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Pr>
                <w:rFonts w:ascii="Arial" w:hAnsi="Arial" w:cs="Arial"/>
              </w:rPr>
              <w:t>6.9</w:t>
            </w:r>
            <w:r w:rsidRPr="00C7305E">
              <w:rPr>
                <w:rFonts w:ascii="Arial" w:hAnsi="Arial" w:cs="Arial"/>
              </w:rPr>
              <w:t xml:space="preserve"> µm</w:t>
            </w:r>
          </w:p>
        </w:tc>
        <w:tc>
          <w:tcPr>
            <w:tcW w:w="2078"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rPr>
            </w:pPr>
            <w:r>
              <w:rPr>
                <w:rFonts w:ascii="Arial" w:hAnsi="Arial" w:cs="Arial"/>
              </w:rPr>
              <w:t>Upper/mid-level tropospheric water vapor band</w:t>
            </w:r>
          </w:p>
        </w:tc>
        <w:tc>
          <w:tcPr>
            <w:tcW w:w="17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7.3 µm</w:t>
            </w:r>
          </w:p>
        </w:tc>
        <w:tc>
          <w:tcPr>
            <w:tcW w:w="2078"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rPr>
            </w:pPr>
            <w:r>
              <w:rPr>
                <w:rFonts w:ascii="Arial" w:hAnsi="Arial" w:cs="Arial"/>
              </w:rPr>
              <w:t>Lower mid-level water vapor band</w:t>
            </w:r>
          </w:p>
        </w:tc>
        <w:tc>
          <w:tcPr>
            <w:tcW w:w="17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8.6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161F2D" w:rsidP="003B42BC">
            <w:pPr>
              <w:pStyle w:val="NoSpacing"/>
              <w:jc w:val="center"/>
              <w:rPr>
                <w:rFonts w:ascii="Arial" w:hAnsi="Arial" w:cs="Arial"/>
              </w:rPr>
            </w:pPr>
            <w:r>
              <w:rPr>
                <w:rFonts w:ascii="Arial" w:hAnsi="Arial" w:cs="Arial"/>
              </w:rPr>
              <w:t>“SO</w:t>
            </w:r>
            <w:r w:rsidRPr="009254FF">
              <w:rPr>
                <w:rFonts w:ascii="Arial" w:hAnsi="Arial" w:cs="Arial"/>
                <w:vertAlign w:val="subscript"/>
              </w:rPr>
              <w:t>2</w:t>
            </w:r>
            <w:r>
              <w:rPr>
                <w:rFonts w:ascii="Arial" w:hAnsi="Arial" w:cs="Arial"/>
              </w:rPr>
              <w:t xml:space="preserve">” </w:t>
            </w:r>
            <w:proofErr w:type="spellStart"/>
            <w:r>
              <w:rPr>
                <w:rFonts w:ascii="Arial" w:hAnsi="Arial" w:cs="Arial"/>
              </w:rPr>
              <w:t>longwave</w:t>
            </w:r>
            <w:proofErr w:type="spellEnd"/>
            <w:r>
              <w:rPr>
                <w:rFonts w:ascii="Arial" w:hAnsi="Arial" w:cs="Arial"/>
              </w:rPr>
              <w:t xml:space="preserve">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Slight difference from central wavelength</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lastRenderedPageBreak/>
              <w:t>12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9.6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“Ozone”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219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8B7112" w:rsidP="003B42BC">
            <w:pPr>
              <w:pStyle w:val="NoSpacing"/>
              <w:jc w:val="center"/>
              <w:rPr>
                <w:rFonts w:ascii="Arial" w:hAnsi="Arial" w:cs="Arial"/>
                <w:b/>
              </w:rPr>
            </w:pPr>
          </w:p>
        </w:tc>
        <w:tc>
          <w:tcPr>
            <w:tcW w:w="7024" w:type="dxa"/>
            <w:gridSpan w:val="4"/>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tcPr>
          <w:p w:rsidR="008B7112" w:rsidRPr="00C7305E" w:rsidRDefault="008B7112" w:rsidP="003B42BC">
            <w:pPr>
              <w:pStyle w:val="NoSpacing"/>
              <w:jc w:val="center"/>
              <w:rPr>
                <w:rFonts w:ascii="Arial" w:hAnsi="Arial" w:cs="Arial"/>
                <w:b/>
              </w:rPr>
            </w:pPr>
            <w:r w:rsidRPr="00C7305E">
              <w:rPr>
                <w:rFonts w:ascii="Arial" w:hAnsi="Arial" w:cs="Arial"/>
                <w:b/>
              </w:rPr>
              <w:t>Infrared Window Channels</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10.4 µm</w:t>
            </w:r>
          </w:p>
        </w:tc>
        <w:tc>
          <w:tcPr>
            <w:tcW w:w="207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161F2D" w:rsidP="003B42BC">
            <w:pPr>
              <w:pStyle w:val="NoSpacing"/>
              <w:jc w:val="center"/>
              <w:rPr>
                <w:rFonts w:ascii="Arial" w:hAnsi="Arial" w:cs="Arial"/>
              </w:rPr>
            </w:pPr>
            <w:r>
              <w:rPr>
                <w:rFonts w:ascii="Arial" w:hAnsi="Arial" w:cs="Arial"/>
              </w:rPr>
              <w:t xml:space="preserve">“Super clean” </w:t>
            </w:r>
            <w:proofErr w:type="spellStart"/>
            <w:r>
              <w:rPr>
                <w:rFonts w:ascii="Arial" w:hAnsi="Arial" w:cs="Arial"/>
              </w:rPr>
              <w:t>longwave</w:t>
            </w:r>
            <w:proofErr w:type="spellEnd"/>
            <w:r>
              <w:rPr>
                <w:rFonts w:ascii="Arial" w:hAnsi="Arial" w:cs="Arial"/>
              </w:rPr>
              <w:t xml:space="preserve"> band</w:t>
            </w:r>
          </w:p>
        </w:tc>
        <w:tc>
          <w:tcPr>
            <w:tcW w:w="17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11.2 µm</w:t>
            </w:r>
          </w:p>
        </w:tc>
        <w:tc>
          <w:tcPr>
            <w:tcW w:w="207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161F2D" w:rsidP="003B42BC">
            <w:pPr>
              <w:pStyle w:val="NoSpacing"/>
              <w:jc w:val="center"/>
              <w:rPr>
                <w:rFonts w:ascii="Arial" w:hAnsi="Arial" w:cs="Arial"/>
              </w:rPr>
            </w:pPr>
            <w:r>
              <w:rPr>
                <w:rFonts w:ascii="Arial" w:hAnsi="Arial" w:cs="Arial"/>
              </w:rPr>
              <w:t xml:space="preserve">“Clean” </w:t>
            </w:r>
            <w:proofErr w:type="spellStart"/>
            <w:r>
              <w:rPr>
                <w:rFonts w:ascii="Arial" w:hAnsi="Arial" w:cs="Arial"/>
              </w:rPr>
              <w:t>longwave</w:t>
            </w:r>
            <w:proofErr w:type="spellEnd"/>
            <w:r>
              <w:rPr>
                <w:rFonts w:ascii="Arial" w:hAnsi="Arial" w:cs="Arial"/>
              </w:rPr>
              <w:t xml:space="preserve"> band</w:t>
            </w:r>
          </w:p>
        </w:tc>
        <w:tc>
          <w:tcPr>
            <w:tcW w:w="17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12.3 µm</w:t>
            </w:r>
          </w:p>
        </w:tc>
        <w:tc>
          <w:tcPr>
            <w:tcW w:w="207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161F2D" w:rsidP="003B42BC">
            <w:pPr>
              <w:pStyle w:val="NoSpacing"/>
              <w:jc w:val="center"/>
              <w:rPr>
                <w:rFonts w:ascii="Arial" w:hAnsi="Arial" w:cs="Arial"/>
              </w:rPr>
            </w:pPr>
            <w:r>
              <w:rPr>
                <w:rFonts w:ascii="Arial" w:hAnsi="Arial" w:cs="Arial"/>
              </w:rPr>
              <w:t xml:space="preserve">“Dirty” </w:t>
            </w:r>
            <w:proofErr w:type="spellStart"/>
            <w:r>
              <w:rPr>
                <w:rFonts w:ascii="Arial" w:hAnsi="Arial" w:cs="Arial"/>
              </w:rPr>
              <w:t>longwave</w:t>
            </w:r>
            <w:proofErr w:type="spellEnd"/>
            <w:r>
              <w:rPr>
                <w:rFonts w:ascii="Arial" w:hAnsi="Arial" w:cs="Arial"/>
              </w:rPr>
              <w:t xml:space="preserve"> band</w:t>
            </w:r>
          </w:p>
        </w:tc>
        <w:tc>
          <w:tcPr>
            <w:tcW w:w="17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8B7112" w:rsidRPr="00C7305E" w:rsidRDefault="008B7112" w:rsidP="003B42BC">
            <w:pPr>
              <w:pStyle w:val="NoSpacing"/>
              <w:jc w:val="center"/>
              <w:rPr>
                <w:rFonts w:ascii="Arial" w:hAnsi="Arial" w:cs="Arial"/>
              </w:rPr>
            </w:pPr>
            <w:r>
              <w:rPr>
                <w:rFonts w:ascii="Arial" w:hAnsi="Arial" w:cs="Arial"/>
              </w:rPr>
              <w:t>Slight difference from central wavelength</w:t>
            </w:r>
          </w:p>
        </w:tc>
      </w:tr>
      <w:tr w:rsidR="008B7112" w:rsidRPr="00C7305E" w:rsidTr="003B42BC">
        <w:trPr>
          <w:trHeight w:val="503"/>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13.3 µm</w:t>
            </w:r>
          </w:p>
        </w:tc>
        <w:tc>
          <w:tcPr>
            <w:tcW w:w="2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Pr>
                <w:rFonts w:ascii="Arial" w:hAnsi="Arial" w:cs="Arial"/>
              </w:rPr>
              <w:t>“CO</w:t>
            </w:r>
            <w:r w:rsidRPr="009254FF">
              <w:rPr>
                <w:rFonts w:ascii="Arial" w:hAnsi="Arial" w:cs="Arial"/>
                <w:vertAlign w:val="subscript"/>
              </w:rPr>
              <w:t>2</w:t>
            </w:r>
            <w:r>
              <w:rPr>
                <w:rFonts w:ascii="Arial" w:hAnsi="Arial" w:cs="Arial"/>
              </w:rPr>
              <w:t xml:space="preserve">” </w:t>
            </w:r>
            <w:proofErr w:type="spellStart"/>
            <w:r>
              <w:rPr>
                <w:rFonts w:ascii="Arial" w:hAnsi="Arial" w:cs="Arial"/>
              </w:rPr>
              <w:t>longwave</w:t>
            </w:r>
            <w:proofErr w:type="spellEnd"/>
            <w:r>
              <w:rPr>
                <w:rFonts w:ascii="Arial" w:hAnsi="Arial" w:cs="Arial"/>
              </w:rPr>
              <w:t xml:space="preserve"> band</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144" w:type="dxa"/>
              <w:bottom w:w="57" w:type="dxa"/>
              <w:right w:w="144" w:type="dxa"/>
            </w:tcMar>
            <w:vAlign w:val="center"/>
            <w:hideMark/>
          </w:tcPr>
          <w:p w:rsidR="008B7112" w:rsidRPr="00C7305E" w:rsidRDefault="008B7112" w:rsidP="003B42BC">
            <w:pPr>
              <w:pStyle w:val="NoSpacing"/>
              <w:jc w:val="center"/>
              <w:rPr>
                <w:rFonts w:ascii="Arial" w:hAnsi="Arial" w:cs="Arial"/>
              </w:rPr>
            </w:pPr>
            <w:r w:rsidRPr="00C7305E">
              <w:rPr>
                <w:rFonts w:ascii="Arial" w:hAnsi="Arial" w:cs="Arial"/>
              </w:rPr>
              <w:t>2 km</w:t>
            </w:r>
          </w:p>
        </w:tc>
        <w:tc>
          <w:tcPr>
            <w:tcW w:w="21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B7112" w:rsidRPr="00C7305E" w:rsidRDefault="008B7112" w:rsidP="003B42BC">
            <w:pPr>
              <w:pStyle w:val="NoSpacing"/>
              <w:jc w:val="center"/>
              <w:rPr>
                <w:rFonts w:ascii="Arial" w:hAnsi="Arial" w:cs="Arial"/>
              </w:rPr>
            </w:pPr>
            <w:r w:rsidRPr="00C7305E">
              <w:rPr>
                <w:rFonts w:ascii="Arial" w:hAnsi="Arial" w:cs="Arial"/>
              </w:rPr>
              <w:t>None</w:t>
            </w:r>
          </w:p>
        </w:tc>
      </w:tr>
    </w:tbl>
    <w:p w:rsidR="00576611" w:rsidRPr="00C7305E" w:rsidRDefault="00576611" w:rsidP="00C7305E">
      <w:pPr>
        <w:pStyle w:val="NoSpacing"/>
        <w:rPr>
          <w:rFonts w:ascii="Arial" w:hAnsi="Arial" w:cs="Arial"/>
        </w:rPr>
      </w:pPr>
    </w:p>
    <w:p w:rsidR="000F0CCB" w:rsidRPr="00C7305E" w:rsidRDefault="000F0CCB" w:rsidP="00C7305E">
      <w:pPr>
        <w:pStyle w:val="NoSpacing"/>
        <w:rPr>
          <w:rFonts w:ascii="Arial" w:hAnsi="Arial" w:cs="Arial"/>
        </w:rPr>
      </w:pPr>
      <w:r w:rsidRPr="00C7305E">
        <w:rPr>
          <w:rFonts w:ascii="Arial" w:hAnsi="Arial" w:cs="Arial"/>
        </w:rPr>
        <w:t>Source:  Japan Meteorological Agency</w:t>
      </w:r>
    </w:p>
    <w:p w:rsidR="009254FF" w:rsidRDefault="009254FF" w:rsidP="00C7305E">
      <w:pPr>
        <w:pStyle w:val="NoSpacing"/>
        <w:rPr>
          <w:rFonts w:ascii="Arial" w:hAnsi="Arial" w:cs="Arial"/>
        </w:rPr>
      </w:pPr>
    </w:p>
    <w:p w:rsidR="003B42BC" w:rsidRPr="003B42BC" w:rsidRDefault="003B42BC" w:rsidP="00C7305E">
      <w:pPr>
        <w:pStyle w:val="NoSpacing"/>
        <w:rPr>
          <w:rFonts w:ascii="Arial" w:hAnsi="Arial" w:cs="Arial"/>
          <w:b/>
        </w:rPr>
      </w:pPr>
      <w:r w:rsidRPr="003B42BC">
        <w:rPr>
          <w:rFonts w:ascii="Arial" w:hAnsi="Arial" w:cs="Arial"/>
          <w:b/>
        </w:rPr>
        <w:t>Bottom of back page</w:t>
      </w:r>
      <w:r w:rsidRPr="003B42BC">
        <w:rPr>
          <w:rFonts w:ascii="Arial" w:hAnsi="Arial" w:cs="Arial"/>
        </w:rPr>
        <w:t xml:space="preserve"> (keep GOES-R logo</w:t>
      </w:r>
      <w:r w:rsidR="008B7A49">
        <w:rPr>
          <w:rFonts w:ascii="Arial" w:hAnsi="Arial" w:cs="Arial"/>
        </w:rPr>
        <w:t xml:space="preserve"> and date in current position</w:t>
      </w:r>
      <w:r w:rsidRPr="003B42BC">
        <w:rPr>
          <w:rFonts w:ascii="Arial" w:hAnsi="Arial" w:cs="Arial"/>
        </w:rPr>
        <w:t>)</w:t>
      </w:r>
    </w:p>
    <w:p w:rsidR="003B42BC" w:rsidRDefault="003B42BC"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Reference</w:t>
      </w:r>
      <w:r w:rsidR="009254FF">
        <w:rPr>
          <w:rFonts w:ascii="Arial" w:hAnsi="Arial" w:cs="Arial"/>
        </w:rPr>
        <w:t>s:</w:t>
      </w:r>
    </w:p>
    <w:p w:rsidR="00096F03" w:rsidRPr="00C7305E" w:rsidRDefault="00096F03" w:rsidP="00C7305E">
      <w:pPr>
        <w:pStyle w:val="NoSpacing"/>
        <w:rPr>
          <w:rFonts w:ascii="Arial" w:hAnsi="Arial" w:cs="Arial"/>
        </w:rPr>
      </w:pPr>
      <w:hyperlink r:id="rId9" w:history="1">
        <w:r w:rsidRPr="00C7305E">
          <w:rPr>
            <w:rStyle w:val="Hyperlink"/>
            <w:rFonts w:ascii="Arial" w:hAnsi="Arial" w:cs="Arial"/>
            <w:color w:val="auto"/>
          </w:rPr>
          <w:t>http://www.tandfonline.com/doi/abs/10.1080/01431161.2011.637529</w:t>
        </w:r>
      </w:hyperlink>
    </w:p>
    <w:p w:rsidR="00096F03" w:rsidRPr="00C7305E" w:rsidRDefault="00096F03" w:rsidP="00C7305E">
      <w:pPr>
        <w:pStyle w:val="NoSpacing"/>
        <w:rPr>
          <w:rFonts w:ascii="Arial" w:hAnsi="Arial" w:cs="Arial"/>
        </w:rPr>
      </w:pPr>
      <w:hyperlink r:id="rId10" w:history="1">
        <w:r w:rsidRPr="00C7305E">
          <w:rPr>
            <w:rStyle w:val="Hyperlink"/>
            <w:rFonts w:ascii="Arial" w:hAnsi="Arial" w:cs="Arial"/>
            <w:color w:val="auto"/>
          </w:rPr>
          <w:t>http://www.cvrl.org/</w:t>
        </w:r>
      </w:hyperlink>
    </w:p>
    <w:p w:rsidR="009254FF" w:rsidRDefault="009254FF" w:rsidP="00C7305E">
      <w:pPr>
        <w:pStyle w:val="NoSpacing"/>
        <w:rPr>
          <w:rFonts w:ascii="Arial" w:hAnsi="Arial" w:cs="Arial"/>
        </w:rPr>
      </w:pPr>
    </w:p>
    <w:p w:rsidR="00096F03" w:rsidRDefault="00096F03" w:rsidP="00C7305E">
      <w:pPr>
        <w:pStyle w:val="NoSpacing"/>
        <w:rPr>
          <w:rFonts w:ascii="Arial" w:hAnsi="Arial" w:cs="Arial"/>
        </w:rPr>
      </w:pPr>
      <w:r w:rsidRPr="00C7305E">
        <w:rPr>
          <w:rFonts w:ascii="Arial" w:hAnsi="Arial" w:cs="Arial"/>
        </w:rPr>
        <w:t xml:space="preserve">Links: </w:t>
      </w:r>
      <w:r w:rsidRPr="00C7305E">
        <w:rPr>
          <w:rFonts w:ascii="Arial" w:hAnsi="Arial" w:cs="Arial"/>
        </w:rPr>
        <w:br/>
      </w:r>
      <w:hyperlink r:id="rId11" w:history="1">
        <w:r w:rsidRPr="00C7305E">
          <w:rPr>
            <w:rStyle w:val="Hyperlink"/>
            <w:rFonts w:ascii="Arial" w:hAnsi="Arial" w:cs="Arial"/>
          </w:rPr>
          <w:t>http://www.jma.go.jp/jma/jma-eng/satellite/</w:t>
        </w:r>
      </w:hyperlink>
      <w:r w:rsidRPr="00C7305E">
        <w:rPr>
          <w:rFonts w:ascii="Arial" w:hAnsi="Arial" w:cs="Arial"/>
        </w:rPr>
        <w:t xml:space="preserve"> </w:t>
      </w:r>
      <w:r w:rsidRPr="00C7305E">
        <w:rPr>
          <w:rFonts w:ascii="Arial" w:hAnsi="Arial" w:cs="Arial"/>
        </w:rPr>
        <w:br/>
      </w:r>
      <w:hyperlink r:id="rId12" w:history="1">
        <w:r w:rsidRPr="00C7305E">
          <w:rPr>
            <w:rStyle w:val="Hyperlink"/>
            <w:rFonts w:ascii="Arial" w:hAnsi="Arial" w:cs="Arial"/>
          </w:rPr>
          <w:t>http://www.data.jma.go.jp/mscweb/en/himawari89/</w:t>
        </w:r>
      </w:hyperlink>
    </w:p>
    <w:p w:rsidR="001358CD" w:rsidRPr="001358CD" w:rsidRDefault="001358CD" w:rsidP="00C7305E">
      <w:pPr>
        <w:pStyle w:val="NoSpacing"/>
        <w:rPr>
          <w:rFonts w:ascii="Arial" w:hAnsi="Arial" w:cs="Arial"/>
          <w:sz w:val="16"/>
        </w:rPr>
      </w:pPr>
    </w:p>
    <w:p w:rsidR="001358CD" w:rsidRPr="001358CD" w:rsidRDefault="001358CD" w:rsidP="001358CD">
      <w:pPr>
        <w:spacing w:after="0" w:line="240" w:lineRule="auto"/>
        <w:rPr>
          <w:rFonts w:ascii="Arial" w:eastAsia="Times New Roman" w:hAnsi="Arial" w:cs="Arial"/>
          <w:szCs w:val="29"/>
        </w:rPr>
      </w:pPr>
      <w:r w:rsidRPr="001358CD">
        <w:rPr>
          <w:rFonts w:ascii="Arial" w:eastAsia="Times New Roman" w:hAnsi="Arial" w:cs="Arial"/>
          <w:szCs w:val="29"/>
        </w:rPr>
        <w:t xml:space="preserve">GOES-R acronyms: </w:t>
      </w:r>
    </w:p>
    <w:p w:rsidR="001358CD" w:rsidRPr="001358CD" w:rsidRDefault="001358CD" w:rsidP="001358CD">
      <w:pPr>
        <w:spacing w:after="0" w:line="240" w:lineRule="auto"/>
        <w:rPr>
          <w:rFonts w:ascii="Arial" w:eastAsia="Times New Roman" w:hAnsi="Arial" w:cs="Arial"/>
          <w:szCs w:val="29"/>
        </w:rPr>
      </w:pPr>
      <w:r w:rsidRPr="001358CD">
        <w:rPr>
          <w:rFonts w:ascii="Arial" w:eastAsia="Times New Roman" w:hAnsi="Arial" w:cs="Arial"/>
          <w:szCs w:val="29"/>
        </w:rPr>
        <w:t>http://www.goes-r.gov/resources/acronyms.html</w:t>
      </w:r>
    </w:p>
    <w:sectPr w:rsidR="001358CD" w:rsidRPr="0013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1917"/>
    <w:multiLevelType w:val="hybridMultilevel"/>
    <w:tmpl w:val="A6FED30C"/>
    <w:lvl w:ilvl="0" w:tplc="9CC477F0">
      <w:start w:val="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0"/>
    <w:rsid w:val="000049B5"/>
    <w:rsid w:val="0002562E"/>
    <w:rsid w:val="00096F03"/>
    <w:rsid w:val="000F0CCB"/>
    <w:rsid w:val="001358CD"/>
    <w:rsid w:val="00161F2D"/>
    <w:rsid w:val="0018569A"/>
    <w:rsid w:val="002A5086"/>
    <w:rsid w:val="003B42BC"/>
    <w:rsid w:val="003D4440"/>
    <w:rsid w:val="003E1A50"/>
    <w:rsid w:val="00406E3B"/>
    <w:rsid w:val="00576611"/>
    <w:rsid w:val="008B7112"/>
    <w:rsid w:val="008B7A49"/>
    <w:rsid w:val="009254FF"/>
    <w:rsid w:val="00A01102"/>
    <w:rsid w:val="00B54995"/>
    <w:rsid w:val="00B65A95"/>
    <w:rsid w:val="00C7305E"/>
    <w:rsid w:val="00D2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96">
      <w:bodyDiv w:val="1"/>
      <w:marLeft w:val="0"/>
      <w:marRight w:val="0"/>
      <w:marTop w:val="0"/>
      <w:marBottom w:val="0"/>
      <w:divBdr>
        <w:top w:val="none" w:sz="0" w:space="0" w:color="auto"/>
        <w:left w:val="none" w:sz="0" w:space="0" w:color="auto"/>
        <w:bottom w:val="none" w:sz="0" w:space="0" w:color="auto"/>
        <w:right w:val="none" w:sz="0" w:space="0" w:color="auto"/>
      </w:divBdr>
      <w:divsChild>
        <w:div w:id="1883326112">
          <w:marLeft w:val="0"/>
          <w:marRight w:val="0"/>
          <w:marTop w:val="0"/>
          <w:marBottom w:val="0"/>
          <w:divBdr>
            <w:top w:val="none" w:sz="0" w:space="0" w:color="auto"/>
            <w:left w:val="none" w:sz="0" w:space="0" w:color="auto"/>
            <w:bottom w:val="none" w:sz="0" w:space="0" w:color="auto"/>
            <w:right w:val="none" w:sz="0" w:space="0" w:color="auto"/>
          </w:divBdr>
        </w:div>
        <w:div w:id="259145279">
          <w:marLeft w:val="0"/>
          <w:marRight w:val="0"/>
          <w:marTop w:val="0"/>
          <w:marBottom w:val="0"/>
          <w:divBdr>
            <w:top w:val="none" w:sz="0" w:space="0" w:color="auto"/>
            <w:left w:val="none" w:sz="0" w:space="0" w:color="auto"/>
            <w:bottom w:val="none" w:sz="0" w:space="0" w:color="auto"/>
            <w:right w:val="none" w:sz="0" w:space="0" w:color="auto"/>
          </w:divBdr>
        </w:div>
      </w:divsChild>
    </w:div>
    <w:div w:id="816259335">
      <w:bodyDiv w:val="1"/>
      <w:marLeft w:val="0"/>
      <w:marRight w:val="0"/>
      <w:marTop w:val="0"/>
      <w:marBottom w:val="0"/>
      <w:divBdr>
        <w:top w:val="none" w:sz="0" w:space="0" w:color="auto"/>
        <w:left w:val="none" w:sz="0" w:space="0" w:color="auto"/>
        <w:bottom w:val="none" w:sz="0" w:space="0" w:color="auto"/>
        <w:right w:val="none" w:sz="0" w:space="0" w:color="auto"/>
      </w:divBdr>
      <w:divsChild>
        <w:div w:id="1496729267">
          <w:marLeft w:val="0"/>
          <w:marRight w:val="0"/>
          <w:marTop w:val="0"/>
          <w:marBottom w:val="0"/>
          <w:divBdr>
            <w:top w:val="none" w:sz="0" w:space="0" w:color="auto"/>
            <w:left w:val="none" w:sz="0" w:space="0" w:color="auto"/>
            <w:bottom w:val="none" w:sz="0" w:space="0" w:color="auto"/>
            <w:right w:val="none" w:sz="0" w:space="0" w:color="auto"/>
          </w:divBdr>
        </w:div>
        <w:div w:id="1467428400">
          <w:marLeft w:val="0"/>
          <w:marRight w:val="0"/>
          <w:marTop w:val="0"/>
          <w:marBottom w:val="0"/>
          <w:divBdr>
            <w:top w:val="none" w:sz="0" w:space="0" w:color="auto"/>
            <w:left w:val="none" w:sz="0" w:space="0" w:color="auto"/>
            <w:bottom w:val="none" w:sz="0" w:space="0" w:color="auto"/>
            <w:right w:val="none" w:sz="0" w:space="0" w:color="auto"/>
          </w:divBdr>
        </w:div>
        <w:div w:id="2071927896">
          <w:marLeft w:val="0"/>
          <w:marRight w:val="0"/>
          <w:marTop w:val="0"/>
          <w:marBottom w:val="0"/>
          <w:divBdr>
            <w:top w:val="none" w:sz="0" w:space="0" w:color="auto"/>
            <w:left w:val="none" w:sz="0" w:space="0" w:color="auto"/>
            <w:bottom w:val="none" w:sz="0" w:space="0" w:color="auto"/>
            <w:right w:val="none" w:sz="0" w:space="0" w:color="auto"/>
          </w:divBdr>
        </w:div>
        <w:div w:id="1953708905">
          <w:marLeft w:val="0"/>
          <w:marRight w:val="0"/>
          <w:marTop w:val="0"/>
          <w:marBottom w:val="0"/>
          <w:divBdr>
            <w:top w:val="none" w:sz="0" w:space="0" w:color="auto"/>
            <w:left w:val="none" w:sz="0" w:space="0" w:color="auto"/>
            <w:bottom w:val="none" w:sz="0" w:space="0" w:color="auto"/>
            <w:right w:val="none" w:sz="0" w:space="0" w:color="auto"/>
          </w:divBdr>
        </w:div>
        <w:div w:id="1282029901">
          <w:marLeft w:val="0"/>
          <w:marRight w:val="0"/>
          <w:marTop w:val="0"/>
          <w:marBottom w:val="0"/>
          <w:divBdr>
            <w:top w:val="none" w:sz="0" w:space="0" w:color="auto"/>
            <w:left w:val="none" w:sz="0" w:space="0" w:color="auto"/>
            <w:bottom w:val="none" w:sz="0" w:space="0" w:color="auto"/>
            <w:right w:val="none" w:sz="0" w:space="0" w:color="auto"/>
          </w:divBdr>
        </w:div>
        <w:div w:id="1446078803">
          <w:marLeft w:val="0"/>
          <w:marRight w:val="0"/>
          <w:marTop w:val="0"/>
          <w:marBottom w:val="0"/>
          <w:divBdr>
            <w:top w:val="none" w:sz="0" w:space="0" w:color="auto"/>
            <w:left w:val="none" w:sz="0" w:space="0" w:color="auto"/>
            <w:bottom w:val="none" w:sz="0" w:space="0" w:color="auto"/>
            <w:right w:val="none" w:sz="0" w:space="0" w:color="auto"/>
          </w:divBdr>
        </w:div>
        <w:div w:id="1145584279">
          <w:marLeft w:val="0"/>
          <w:marRight w:val="0"/>
          <w:marTop w:val="0"/>
          <w:marBottom w:val="0"/>
          <w:divBdr>
            <w:top w:val="none" w:sz="0" w:space="0" w:color="auto"/>
            <w:left w:val="none" w:sz="0" w:space="0" w:color="auto"/>
            <w:bottom w:val="none" w:sz="0" w:space="0" w:color="auto"/>
            <w:right w:val="none" w:sz="0" w:space="0" w:color="auto"/>
          </w:divBdr>
        </w:div>
        <w:div w:id="982077880">
          <w:marLeft w:val="0"/>
          <w:marRight w:val="0"/>
          <w:marTop w:val="0"/>
          <w:marBottom w:val="0"/>
          <w:divBdr>
            <w:top w:val="none" w:sz="0" w:space="0" w:color="auto"/>
            <w:left w:val="none" w:sz="0" w:space="0" w:color="auto"/>
            <w:bottom w:val="none" w:sz="0" w:space="0" w:color="auto"/>
            <w:right w:val="none" w:sz="0" w:space="0" w:color="auto"/>
          </w:divBdr>
        </w:div>
        <w:div w:id="627200709">
          <w:marLeft w:val="0"/>
          <w:marRight w:val="0"/>
          <w:marTop w:val="0"/>
          <w:marBottom w:val="0"/>
          <w:divBdr>
            <w:top w:val="none" w:sz="0" w:space="0" w:color="auto"/>
            <w:left w:val="none" w:sz="0" w:space="0" w:color="auto"/>
            <w:bottom w:val="none" w:sz="0" w:space="0" w:color="auto"/>
            <w:right w:val="none" w:sz="0" w:space="0" w:color="auto"/>
          </w:divBdr>
        </w:div>
        <w:div w:id="1644121942">
          <w:marLeft w:val="0"/>
          <w:marRight w:val="0"/>
          <w:marTop w:val="0"/>
          <w:marBottom w:val="0"/>
          <w:divBdr>
            <w:top w:val="none" w:sz="0" w:space="0" w:color="auto"/>
            <w:left w:val="none" w:sz="0" w:space="0" w:color="auto"/>
            <w:bottom w:val="none" w:sz="0" w:space="0" w:color="auto"/>
            <w:right w:val="none" w:sz="0" w:space="0" w:color="auto"/>
          </w:divBdr>
        </w:div>
        <w:div w:id="972368036">
          <w:marLeft w:val="0"/>
          <w:marRight w:val="0"/>
          <w:marTop w:val="0"/>
          <w:marBottom w:val="0"/>
          <w:divBdr>
            <w:top w:val="none" w:sz="0" w:space="0" w:color="auto"/>
            <w:left w:val="none" w:sz="0" w:space="0" w:color="auto"/>
            <w:bottom w:val="none" w:sz="0" w:space="0" w:color="auto"/>
            <w:right w:val="none" w:sz="0" w:space="0" w:color="auto"/>
          </w:divBdr>
        </w:div>
      </w:divsChild>
    </w:div>
    <w:div w:id="1133673005">
      <w:bodyDiv w:val="1"/>
      <w:marLeft w:val="0"/>
      <w:marRight w:val="0"/>
      <w:marTop w:val="0"/>
      <w:marBottom w:val="0"/>
      <w:divBdr>
        <w:top w:val="none" w:sz="0" w:space="0" w:color="auto"/>
        <w:left w:val="none" w:sz="0" w:space="0" w:color="auto"/>
        <w:bottom w:val="none" w:sz="0" w:space="0" w:color="auto"/>
        <w:right w:val="none" w:sz="0" w:space="0" w:color="auto"/>
      </w:divBdr>
      <w:divsChild>
        <w:div w:id="1448739230">
          <w:marLeft w:val="0"/>
          <w:marRight w:val="0"/>
          <w:marTop w:val="0"/>
          <w:marBottom w:val="0"/>
          <w:divBdr>
            <w:top w:val="none" w:sz="0" w:space="0" w:color="auto"/>
            <w:left w:val="none" w:sz="0" w:space="0" w:color="auto"/>
            <w:bottom w:val="none" w:sz="0" w:space="0" w:color="auto"/>
            <w:right w:val="none" w:sz="0" w:space="0" w:color="auto"/>
          </w:divBdr>
        </w:div>
        <w:div w:id="560097762">
          <w:marLeft w:val="0"/>
          <w:marRight w:val="0"/>
          <w:marTop w:val="0"/>
          <w:marBottom w:val="0"/>
          <w:divBdr>
            <w:top w:val="none" w:sz="0" w:space="0" w:color="auto"/>
            <w:left w:val="none" w:sz="0" w:space="0" w:color="auto"/>
            <w:bottom w:val="none" w:sz="0" w:space="0" w:color="auto"/>
            <w:right w:val="none" w:sz="0" w:space="0" w:color="auto"/>
          </w:divBdr>
        </w:div>
        <w:div w:id="640308952">
          <w:marLeft w:val="0"/>
          <w:marRight w:val="0"/>
          <w:marTop w:val="0"/>
          <w:marBottom w:val="0"/>
          <w:divBdr>
            <w:top w:val="none" w:sz="0" w:space="0" w:color="auto"/>
            <w:left w:val="none" w:sz="0" w:space="0" w:color="auto"/>
            <w:bottom w:val="none" w:sz="0" w:space="0" w:color="auto"/>
            <w:right w:val="none" w:sz="0" w:space="0" w:color="auto"/>
          </w:divBdr>
        </w:div>
        <w:div w:id="1240556626">
          <w:marLeft w:val="0"/>
          <w:marRight w:val="0"/>
          <w:marTop w:val="0"/>
          <w:marBottom w:val="0"/>
          <w:divBdr>
            <w:top w:val="none" w:sz="0" w:space="0" w:color="auto"/>
            <w:left w:val="none" w:sz="0" w:space="0" w:color="auto"/>
            <w:bottom w:val="none" w:sz="0" w:space="0" w:color="auto"/>
            <w:right w:val="none" w:sz="0" w:space="0" w:color="auto"/>
          </w:divBdr>
        </w:div>
        <w:div w:id="1244415399">
          <w:marLeft w:val="0"/>
          <w:marRight w:val="0"/>
          <w:marTop w:val="0"/>
          <w:marBottom w:val="0"/>
          <w:divBdr>
            <w:top w:val="none" w:sz="0" w:space="0" w:color="auto"/>
            <w:left w:val="none" w:sz="0" w:space="0" w:color="auto"/>
            <w:bottom w:val="none" w:sz="0" w:space="0" w:color="auto"/>
            <w:right w:val="none" w:sz="0" w:space="0" w:color="auto"/>
          </w:divBdr>
        </w:div>
        <w:div w:id="1049955294">
          <w:marLeft w:val="0"/>
          <w:marRight w:val="0"/>
          <w:marTop w:val="0"/>
          <w:marBottom w:val="0"/>
          <w:divBdr>
            <w:top w:val="none" w:sz="0" w:space="0" w:color="auto"/>
            <w:left w:val="none" w:sz="0" w:space="0" w:color="auto"/>
            <w:bottom w:val="none" w:sz="0" w:space="0" w:color="auto"/>
            <w:right w:val="none" w:sz="0" w:space="0" w:color="auto"/>
          </w:divBdr>
        </w:div>
        <w:div w:id="1343816848">
          <w:marLeft w:val="0"/>
          <w:marRight w:val="0"/>
          <w:marTop w:val="0"/>
          <w:marBottom w:val="0"/>
          <w:divBdr>
            <w:top w:val="none" w:sz="0" w:space="0" w:color="auto"/>
            <w:left w:val="none" w:sz="0" w:space="0" w:color="auto"/>
            <w:bottom w:val="none" w:sz="0" w:space="0" w:color="auto"/>
            <w:right w:val="none" w:sz="0" w:space="0" w:color="auto"/>
          </w:divBdr>
        </w:div>
        <w:div w:id="476993961">
          <w:marLeft w:val="0"/>
          <w:marRight w:val="0"/>
          <w:marTop w:val="0"/>
          <w:marBottom w:val="0"/>
          <w:divBdr>
            <w:top w:val="none" w:sz="0" w:space="0" w:color="auto"/>
            <w:left w:val="none" w:sz="0" w:space="0" w:color="auto"/>
            <w:bottom w:val="none" w:sz="0" w:space="0" w:color="auto"/>
            <w:right w:val="none" w:sz="0" w:space="0" w:color="auto"/>
          </w:divBdr>
        </w:div>
        <w:div w:id="1524434858">
          <w:marLeft w:val="0"/>
          <w:marRight w:val="0"/>
          <w:marTop w:val="0"/>
          <w:marBottom w:val="0"/>
          <w:divBdr>
            <w:top w:val="none" w:sz="0" w:space="0" w:color="auto"/>
            <w:left w:val="none" w:sz="0" w:space="0" w:color="auto"/>
            <w:bottom w:val="none" w:sz="0" w:space="0" w:color="auto"/>
            <w:right w:val="none" w:sz="0" w:space="0" w:color="auto"/>
          </w:divBdr>
        </w:div>
        <w:div w:id="2115708136">
          <w:marLeft w:val="0"/>
          <w:marRight w:val="0"/>
          <w:marTop w:val="0"/>
          <w:marBottom w:val="0"/>
          <w:divBdr>
            <w:top w:val="none" w:sz="0" w:space="0" w:color="auto"/>
            <w:left w:val="none" w:sz="0" w:space="0" w:color="auto"/>
            <w:bottom w:val="none" w:sz="0" w:space="0" w:color="auto"/>
            <w:right w:val="none" w:sz="0" w:space="0" w:color="auto"/>
          </w:divBdr>
        </w:div>
        <w:div w:id="1840848522">
          <w:marLeft w:val="0"/>
          <w:marRight w:val="0"/>
          <w:marTop w:val="0"/>
          <w:marBottom w:val="0"/>
          <w:divBdr>
            <w:top w:val="none" w:sz="0" w:space="0" w:color="auto"/>
            <w:left w:val="none" w:sz="0" w:space="0" w:color="auto"/>
            <w:bottom w:val="none" w:sz="0" w:space="0" w:color="auto"/>
            <w:right w:val="none" w:sz="0" w:space="0" w:color="auto"/>
          </w:divBdr>
        </w:div>
        <w:div w:id="421532076">
          <w:marLeft w:val="0"/>
          <w:marRight w:val="0"/>
          <w:marTop w:val="0"/>
          <w:marBottom w:val="0"/>
          <w:divBdr>
            <w:top w:val="none" w:sz="0" w:space="0" w:color="auto"/>
            <w:left w:val="none" w:sz="0" w:space="0" w:color="auto"/>
            <w:bottom w:val="none" w:sz="0" w:space="0" w:color="auto"/>
            <w:right w:val="none" w:sz="0" w:space="0" w:color="auto"/>
          </w:divBdr>
        </w:div>
        <w:div w:id="2113814664">
          <w:marLeft w:val="0"/>
          <w:marRight w:val="0"/>
          <w:marTop w:val="0"/>
          <w:marBottom w:val="0"/>
          <w:divBdr>
            <w:top w:val="none" w:sz="0" w:space="0" w:color="auto"/>
            <w:left w:val="none" w:sz="0" w:space="0" w:color="auto"/>
            <w:bottom w:val="none" w:sz="0" w:space="0" w:color="auto"/>
            <w:right w:val="none" w:sz="0" w:space="0" w:color="auto"/>
          </w:divBdr>
        </w:div>
        <w:div w:id="1152060690">
          <w:marLeft w:val="0"/>
          <w:marRight w:val="0"/>
          <w:marTop w:val="0"/>
          <w:marBottom w:val="0"/>
          <w:divBdr>
            <w:top w:val="none" w:sz="0" w:space="0" w:color="auto"/>
            <w:left w:val="none" w:sz="0" w:space="0" w:color="auto"/>
            <w:bottom w:val="none" w:sz="0" w:space="0" w:color="auto"/>
            <w:right w:val="none" w:sz="0" w:space="0" w:color="auto"/>
          </w:divBdr>
        </w:div>
        <w:div w:id="94862531">
          <w:marLeft w:val="0"/>
          <w:marRight w:val="0"/>
          <w:marTop w:val="0"/>
          <w:marBottom w:val="0"/>
          <w:divBdr>
            <w:top w:val="none" w:sz="0" w:space="0" w:color="auto"/>
            <w:left w:val="none" w:sz="0" w:space="0" w:color="auto"/>
            <w:bottom w:val="none" w:sz="0" w:space="0" w:color="auto"/>
            <w:right w:val="none" w:sz="0" w:space="0" w:color="auto"/>
          </w:divBdr>
        </w:div>
        <w:div w:id="40371150">
          <w:marLeft w:val="0"/>
          <w:marRight w:val="0"/>
          <w:marTop w:val="0"/>
          <w:marBottom w:val="0"/>
          <w:divBdr>
            <w:top w:val="none" w:sz="0" w:space="0" w:color="auto"/>
            <w:left w:val="none" w:sz="0" w:space="0" w:color="auto"/>
            <w:bottom w:val="none" w:sz="0" w:space="0" w:color="auto"/>
            <w:right w:val="none" w:sz="0" w:space="0" w:color="auto"/>
          </w:divBdr>
        </w:div>
        <w:div w:id="183592891">
          <w:marLeft w:val="0"/>
          <w:marRight w:val="0"/>
          <w:marTop w:val="0"/>
          <w:marBottom w:val="0"/>
          <w:divBdr>
            <w:top w:val="none" w:sz="0" w:space="0" w:color="auto"/>
            <w:left w:val="none" w:sz="0" w:space="0" w:color="auto"/>
            <w:bottom w:val="none" w:sz="0" w:space="0" w:color="auto"/>
            <w:right w:val="none" w:sz="0" w:space="0" w:color="auto"/>
          </w:divBdr>
        </w:div>
        <w:div w:id="491872932">
          <w:marLeft w:val="0"/>
          <w:marRight w:val="0"/>
          <w:marTop w:val="0"/>
          <w:marBottom w:val="0"/>
          <w:divBdr>
            <w:top w:val="none" w:sz="0" w:space="0" w:color="auto"/>
            <w:left w:val="none" w:sz="0" w:space="0" w:color="auto"/>
            <w:bottom w:val="none" w:sz="0" w:space="0" w:color="auto"/>
            <w:right w:val="none" w:sz="0" w:space="0" w:color="auto"/>
          </w:divBdr>
        </w:div>
      </w:divsChild>
    </w:div>
    <w:div w:id="139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49847347">
          <w:marLeft w:val="0"/>
          <w:marRight w:val="0"/>
          <w:marTop w:val="0"/>
          <w:marBottom w:val="0"/>
          <w:divBdr>
            <w:top w:val="none" w:sz="0" w:space="0" w:color="auto"/>
            <w:left w:val="none" w:sz="0" w:space="0" w:color="auto"/>
            <w:bottom w:val="none" w:sz="0" w:space="0" w:color="auto"/>
            <w:right w:val="none" w:sz="0" w:space="0" w:color="auto"/>
          </w:divBdr>
        </w:div>
        <w:div w:id="1975791942">
          <w:marLeft w:val="0"/>
          <w:marRight w:val="0"/>
          <w:marTop w:val="0"/>
          <w:marBottom w:val="0"/>
          <w:divBdr>
            <w:top w:val="none" w:sz="0" w:space="0" w:color="auto"/>
            <w:left w:val="none" w:sz="0" w:space="0" w:color="auto"/>
            <w:bottom w:val="none" w:sz="0" w:space="0" w:color="auto"/>
            <w:right w:val="none" w:sz="0" w:space="0" w:color="auto"/>
          </w:divBdr>
        </w:div>
      </w:divsChild>
    </w:div>
    <w:div w:id="1679229836">
      <w:bodyDiv w:val="1"/>
      <w:marLeft w:val="0"/>
      <w:marRight w:val="0"/>
      <w:marTop w:val="0"/>
      <w:marBottom w:val="0"/>
      <w:divBdr>
        <w:top w:val="none" w:sz="0" w:space="0" w:color="auto"/>
        <w:left w:val="none" w:sz="0" w:space="0" w:color="auto"/>
        <w:bottom w:val="none" w:sz="0" w:space="0" w:color="auto"/>
        <w:right w:val="none" w:sz="0" w:space="0" w:color="auto"/>
      </w:divBdr>
      <w:divsChild>
        <w:div w:id="1134711868">
          <w:marLeft w:val="0"/>
          <w:marRight w:val="0"/>
          <w:marTop w:val="0"/>
          <w:marBottom w:val="0"/>
          <w:divBdr>
            <w:top w:val="none" w:sz="0" w:space="0" w:color="auto"/>
            <w:left w:val="none" w:sz="0" w:space="0" w:color="auto"/>
            <w:bottom w:val="none" w:sz="0" w:space="0" w:color="auto"/>
            <w:right w:val="none" w:sz="0" w:space="0" w:color="auto"/>
          </w:divBdr>
        </w:div>
        <w:div w:id="421991992">
          <w:marLeft w:val="0"/>
          <w:marRight w:val="0"/>
          <w:marTop w:val="0"/>
          <w:marBottom w:val="0"/>
          <w:divBdr>
            <w:top w:val="none" w:sz="0" w:space="0" w:color="auto"/>
            <w:left w:val="none" w:sz="0" w:space="0" w:color="auto"/>
            <w:bottom w:val="none" w:sz="0" w:space="0" w:color="auto"/>
            <w:right w:val="none" w:sz="0" w:space="0" w:color="auto"/>
          </w:divBdr>
        </w:div>
        <w:div w:id="1636907508">
          <w:marLeft w:val="0"/>
          <w:marRight w:val="0"/>
          <w:marTop w:val="0"/>
          <w:marBottom w:val="0"/>
          <w:divBdr>
            <w:top w:val="none" w:sz="0" w:space="0" w:color="auto"/>
            <w:left w:val="none" w:sz="0" w:space="0" w:color="auto"/>
            <w:bottom w:val="none" w:sz="0" w:space="0" w:color="auto"/>
            <w:right w:val="none" w:sz="0" w:space="0" w:color="auto"/>
          </w:divBdr>
        </w:div>
      </w:divsChild>
    </w:div>
    <w:div w:id="1816334216">
      <w:bodyDiv w:val="1"/>
      <w:marLeft w:val="0"/>
      <w:marRight w:val="0"/>
      <w:marTop w:val="0"/>
      <w:marBottom w:val="0"/>
      <w:divBdr>
        <w:top w:val="none" w:sz="0" w:space="0" w:color="auto"/>
        <w:left w:val="none" w:sz="0" w:space="0" w:color="auto"/>
        <w:bottom w:val="none" w:sz="0" w:space="0" w:color="auto"/>
        <w:right w:val="none" w:sz="0" w:space="0" w:color="auto"/>
      </w:divBdr>
      <w:divsChild>
        <w:div w:id="2115439766">
          <w:marLeft w:val="0"/>
          <w:marRight w:val="0"/>
          <w:marTop w:val="0"/>
          <w:marBottom w:val="0"/>
          <w:divBdr>
            <w:top w:val="none" w:sz="0" w:space="0" w:color="auto"/>
            <w:left w:val="none" w:sz="0" w:space="0" w:color="auto"/>
            <w:bottom w:val="none" w:sz="0" w:space="0" w:color="auto"/>
            <w:right w:val="none" w:sz="0" w:space="0" w:color="auto"/>
          </w:divBdr>
        </w:div>
        <w:div w:id="1788967213">
          <w:marLeft w:val="0"/>
          <w:marRight w:val="0"/>
          <w:marTop w:val="0"/>
          <w:marBottom w:val="0"/>
          <w:divBdr>
            <w:top w:val="none" w:sz="0" w:space="0" w:color="auto"/>
            <w:left w:val="none" w:sz="0" w:space="0" w:color="auto"/>
            <w:bottom w:val="none" w:sz="0" w:space="0" w:color="auto"/>
            <w:right w:val="none" w:sz="0" w:space="0" w:color="auto"/>
          </w:divBdr>
        </w:div>
        <w:div w:id="1438450668">
          <w:marLeft w:val="0"/>
          <w:marRight w:val="0"/>
          <w:marTop w:val="0"/>
          <w:marBottom w:val="0"/>
          <w:divBdr>
            <w:top w:val="none" w:sz="0" w:space="0" w:color="auto"/>
            <w:left w:val="none" w:sz="0" w:space="0" w:color="auto"/>
            <w:bottom w:val="none" w:sz="0" w:space="0" w:color="auto"/>
            <w:right w:val="none" w:sz="0" w:space="0" w:color="auto"/>
          </w:divBdr>
        </w:div>
      </w:divsChild>
    </w:div>
    <w:div w:id="18654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data.jma.go.jp/mscweb/en/himawari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a.go.jp/jma/jma-eng/satellite/news/himawari89/20141007_himawari-8_successfully%20launched.pdf" TargetMode="External"/><Relationship Id="rId11" Type="http://schemas.openxmlformats.org/officeDocument/2006/relationships/hyperlink" Target="http://www.jma.go.jp/jma/jma-eng/satellite/" TargetMode="External"/><Relationship Id="rId5" Type="http://schemas.openxmlformats.org/officeDocument/2006/relationships/webSettings" Target="webSettings.xml"/><Relationship Id="rId10" Type="http://schemas.openxmlformats.org/officeDocument/2006/relationships/hyperlink" Target="http://www.cvrl.org/" TargetMode="External"/><Relationship Id="rId4" Type="http://schemas.openxmlformats.org/officeDocument/2006/relationships/settings" Target="settings.xml"/><Relationship Id="rId9" Type="http://schemas.openxmlformats.org/officeDocument/2006/relationships/hyperlink" Target="http://www.tandfonline.com/doi/abs/10.1080/01431161.2011.6375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1185</Words>
  <Characters>6114</Characters>
  <Application>Microsoft Office Word</Application>
  <DocSecurity>0</DocSecurity>
  <Lines>236</Lines>
  <Paragraphs>131</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4</cp:revision>
  <dcterms:created xsi:type="dcterms:W3CDTF">2014-11-20T20:28:00Z</dcterms:created>
  <dcterms:modified xsi:type="dcterms:W3CDTF">2014-11-21T00:54:00Z</dcterms:modified>
</cp:coreProperties>
</file>